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D6CC3" w14:textId="18CE7889" w:rsidR="00E51520" w:rsidRPr="00FE1F13" w:rsidRDefault="00E51520" w:rsidP="00E51520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>
        <w:rPr>
          <w:rFonts w:eastAsia="MS Mincho" w:cs="Arial"/>
          <w:kern w:val="0"/>
          <w:sz w:val="24"/>
          <w:lang w:val="en-US" w:eastAsia="en-US"/>
        </w:rPr>
        <w:t>WG1 #82bis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Pr="005C2F5A">
        <w:rPr>
          <w:rFonts w:eastAsia="MS Mincho" w:cs="Arial"/>
          <w:kern w:val="0"/>
          <w:sz w:val="24"/>
          <w:lang w:val="en-US" w:eastAsia="en-US"/>
        </w:rPr>
        <w:t>R1-15</w:t>
      </w:r>
      <w:r>
        <w:rPr>
          <w:rFonts w:eastAsia="MS Mincho" w:cs="Arial"/>
          <w:kern w:val="0"/>
          <w:sz w:val="24"/>
          <w:lang w:val="en-US" w:eastAsia="en-US"/>
        </w:rPr>
        <w:t>6016</w:t>
      </w:r>
    </w:p>
    <w:p w14:paraId="56B242C4" w14:textId="77777777" w:rsidR="00E51520" w:rsidRPr="00FE1F13" w:rsidRDefault="00E51520" w:rsidP="00E51520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5th – 9</w:t>
      </w:r>
      <w:r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October</w:t>
      </w:r>
      <w:r w:rsidRPr="00FE1F13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14:paraId="0FB82F73" w14:textId="77777777" w:rsidR="00E51520" w:rsidRPr="00FE1F13" w:rsidRDefault="00E51520" w:rsidP="00E51520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Malmo</w:t>
      </w:r>
      <w:r w:rsidRPr="00FE1F13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Sweden</w:t>
      </w:r>
    </w:p>
    <w:p w14:paraId="280104E1" w14:textId="77777777" w:rsidR="00E51520" w:rsidRDefault="00E51520" w:rsidP="00E5152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4A24E4C2" w14:textId="35B6C732" w:rsidR="00E51520" w:rsidRPr="00E21B75" w:rsidRDefault="00E51520" w:rsidP="00E51520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Source:       </w:t>
      </w:r>
      <w:r>
        <w:rPr>
          <w:rFonts w:cs="Arial"/>
          <w:b/>
          <w:sz w:val="24"/>
          <w:lang w:val="en-US"/>
        </w:rPr>
        <w:t xml:space="preserve">             </w:t>
      </w:r>
      <w:r>
        <w:rPr>
          <w:rFonts w:cs="Arial"/>
          <w:b/>
          <w:sz w:val="24"/>
          <w:lang w:val="en-US"/>
        </w:rPr>
        <w:tab/>
        <w:t>Ericsson</w:t>
      </w:r>
      <w:r w:rsidRPr="00E21B75">
        <w:rPr>
          <w:rFonts w:cs="Arial"/>
          <w:b/>
          <w:sz w:val="24"/>
          <w:lang w:val="en-US"/>
        </w:rPr>
        <w:t xml:space="preserve"> </w:t>
      </w:r>
    </w:p>
    <w:p w14:paraId="0468C916" w14:textId="26F81B7E" w:rsidR="00E51520" w:rsidRPr="00E21B75" w:rsidRDefault="00E51520" w:rsidP="00E5152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Pr="00E51520">
        <w:rPr>
          <w:rFonts w:cs="Arial"/>
          <w:b/>
          <w:sz w:val="24"/>
          <w:lang w:val="en-US"/>
        </w:rPr>
        <w:t>Performance evaluation in stand-alone operation</w:t>
      </w:r>
    </w:p>
    <w:p w14:paraId="42F705F7" w14:textId="77777777" w:rsidR="00E51520" w:rsidRPr="00E21B75" w:rsidRDefault="00E51520" w:rsidP="00E51520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3E5C100C" w:rsidR="00A675B4" w:rsidRPr="00D77539" w:rsidRDefault="00E51520" w:rsidP="00E51520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Pr="00E51520">
        <w:rPr>
          <w:rFonts w:cs="Arial"/>
          <w:b/>
          <w:sz w:val="24"/>
          <w:lang w:val="en-US"/>
        </w:rPr>
        <w:t>7.2.6.3.1</w:t>
      </w:r>
      <w:r w:rsidR="00D13E68" w:rsidRPr="00D77539">
        <w:rPr>
          <w:lang w:val="en-US"/>
        </w:rPr>
        <w:tab/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CCCB634" w14:textId="77777777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5308B2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747698C4" w14:textId="77777777" w:rsidR="008C4026" w:rsidRPr="004B486D" w:rsidRDefault="008C4026" w:rsidP="008C4026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04CF9A08" w14:textId="77777777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2B54DDEE" w14:textId="77777777" w:rsidR="008C4026" w:rsidRPr="004B486D" w:rsidRDefault="008C4026" w:rsidP="008C4026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71D2AFB3" w14:textId="77777777" w:rsidR="008C4026" w:rsidRDefault="008C4026" w:rsidP="008C4026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8350B12" w14:textId="77777777" w:rsidR="008C4026" w:rsidRDefault="008C4026" w:rsidP="008C4026">
      <w:pPr>
        <w:pStyle w:val="BodyText"/>
        <w:rPr>
          <w:lang w:val="en-US"/>
        </w:rPr>
      </w:pPr>
      <w:r>
        <w:rPr>
          <w:lang w:val="en-US"/>
        </w:rPr>
        <w:t>Furthermore according to [1], NB-IOT should have a</w:t>
      </w:r>
      <w:r w:rsidRPr="004B486D">
        <w:rPr>
          <w:lang w:val="en-US"/>
        </w:rPr>
        <w:t xml:space="preserve"> single synchronization signal design for the different modes of operation, including techniques to handle overlap with legacy LTE signals</w:t>
      </w:r>
      <w:r>
        <w:rPr>
          <w:lang w:val="en-US"/>
        </w:rPr>
        <w:t>.</w:t>
      </w:r>
    </w:p>
    <w:p w14:paraId="3AAB67BB" w14:textId="2C162204" w:rsidR="008C4026" w:rsidRDefault="008C4026" w:rsidP="008C4026">
      <w:pPr>
        <w:pStyle w:val="BodyText"/>
        <w:rPr>
          <w:lang w:val="en-US"/>
        </w:rPr>
      </w:pPr>
      <w:r>
        <w:rPr>
          <w:lang w:val="en-US"/>
        </w:rPr>
        <w:t xml:space="preserve">In [2], it is shown that a narrowband LTE </w:t>
      </w:r>
      <w:r w:rsidR="00AC75AA">
        <w:rPr>
          <w:lang w:val="en-US"/>
        </w:rPr>
        <w:t>solution</w:t>
      </w:r>
      <w:r>
        <w:rPr>
          <w:lang w:val="en-US"/>
        </w:rPr>
        <w:t xml:space="preserve"> supports all three modes of operation mentioned above and has a</w:t>
      </w:r>
      <w:r w:rsidRPr="004B486D">
        <w:rPr>
          <w:lang w:val="en-US"/>
        </w:rPr>
        <w:t xml:space="preserve"> single synchronization signal design for the different modes of operation, including techniques to handle overlap with legacy LTE signals</w:t>
      </w:r>
      <w:r>
        <w:rPr>
          <w:lang w:val="en-US"/>
        </w:rPr>
        <w:t>.</w:t>
      </w:r>
    </w:p>
    <w:p w14:paraId="6E0F4FA7" w14:textId="6823B251" w:rsidR="00383CE6" w:rsidRDefault="00964F3E" w:rsidP="00683F57">
      <w:pPr>
        <w:pStyle w:val="BodyText"/>
        <w:rPr>
          <w:color w:val="000000"/>
        </w:rPr>
      </w:pPr>
      <w:r>
        <w:rPr>
          <w:color w:val="000000"/>
        </w:rPr>
        <w:t xml:space="preserve">In this contribution, </w:t>
      </w:r>
      <w:r w:rsidR="00A1341C">
        <w:rPr>
          <w:color w:val="000000"/>
        </w:rPr>
        <w:t xml:space="preserve">multi-cell </w:t>
      </w:r>
      <w:r>
        <w:rPr>
          <w:color w:val="000000"/>
        </w:rPr>
        <w:t xml:space="preserve">system capacity analysis </w:t>
      </w:r>
      <w:r w:rsidR="00907E4D">
        <w:rPr>
          <w:color w:val="000000"/>
        </w:rPr>
        <w:t xml:space="preserve">of NB-LTE </w:t>
      </w:r>
      <w:r>
        <w:rPr>
          <w:color w:val="000000"/>
        </w:rPr>
        <w:t>is presented. The simulatio</w:t>
      </w:r>
      <w:r w:rsidR="002032D4">
        <w:rPr>
          <w:color w:val="000000"/>
        </w:rPr>
        <w:t>n assumptions as described in [</w:t>
      </w:r>
      <w:r w:rsidR="008C4026">
        <w:rPr>
          <w:color w:val="000000"/>
        </w:rPr>
        <w:t>3</w:t>
      </w:r>
      <w:r>
        <w:rPr>
          <w:color w:val="000000"/>
        </w:rPr>
        <w:t xml:space="preserve">] are </w:t>
      </w:r>
      <w:r w:rsidR="008C4026">
        <w:rPr>
          <w:color w:val="000000"/>
        </w:rPr>
        <w:t xml:space="preserve">fully </w:t>
      </w:r>
      <w:r>
        <w:rPr>
          <w:color w:val="000000"/>
        </w:rPr>
        <w:t>adopted.</w:t>
      </w:r>
      <w:r w:rsidR="00EB7080">
        <w:rPr>
          <w:color w:val="000000"/>
        </w:rPr>
        <w:t xml:space="preserve"> </w:t>
      </w:r>
      <w:r w:rsidR="00AC75AA">
        <w:rPr>
          <w:color w:val="000000"/>
        </w:rPr>
        <w:t xml:space="preserve">Furthermore, </w:t>
      </w:r>
      <w:r w:rsidR="00EB7080">
        <w:rPr>
          <w:color w:val="000000"/>
        </w:rPr>
        <w:t xml:space="preserve">NB-LTE capacity is compared to the NB </w:t>
      </w:r>
      <w:proofErr w:type="spellStart"/>
      <w:r w:rsidR="00EB7080">
        <w:rPr>
          <w:color w:val="000000"/>
        </w:rPr>
        <w:t>CIoT</w:t>
      </w:r>
      <w:proofErr w:type="spellEnd"/>
      <w:r w:rsidR="00EB7080">
        <w:rPr>
          <w:color w:val="000000"/>
        </w:rPr>
        <w:t xml:space="preserve"> capacity as documented in [3].</w:t>
      </w:r>
    </w:p>
    <w:p w14:paraId="6DE59A79" w14:textId="77777777" w:rsidR="00D53C98" w:rsidRDefault="00D53C98" w:rsidP="00F00A2C">
      <w:pPr>
        <w:pStyle w:val="Heading1"/>
      </w:pPr>
      <w:r>
        <w:t>Simulation assumptions</w:t>
      </w:r>
    </w:p>
    <w:p w14:paraId="4058AE25" w14:textId="1C63F30B" w:rsidR="002C6DB8" w:rsidRDefault="00E15EB8" w:rsidP="00D53C98">
      <w:pPr>
        <w:pStyle w:val="Heading2"/>
      </w:pPr>
      <w:r>
        <w:t>Coupling loss model</w:t>
      </w:r>
    </w:p>
    <w:p w14:paraId="0ADAFBBB" w14:textId="79A9EB39" w:rsidR="00E15EB8" w:rsidRDefault="00E15EB8" w:rsidP="00E15EB8">
      <w:pPr>
        <w:pStyle w:val="BodyText"/>
      </w:pPr>
      <w:r>
        <w:t>Coupling loss distributions according to the system-level simulation param</w:t>
      </w:r>
      <w:r w:rsidR="002032D4">
        <w:t>eters specified in Annex D of [</w:t>
      </w:r>
      <w:r w:rsidR="004E2A68">
        <w:t>3</w:t>
      </w:r>
      <w:r>
        <w:t xml:space="preserve">] are shown in </w:t>
      </w:r>
      <w:r>
        <w:fldChar w:fldCharType="begin"/>
      </w:r>
      <w:r>
        <w:instrText xml:space="preserve"> REF _Ref426710034 \h </w:instrText>
      </w:r>
      <w:r>
        <w:fldChar w:fldCharType="separate"/>
      </w:r>
      <w:r w:rsidR="005308B2">
        <w:t xml:space="preserve">Figure </w:t>
      </w:r>
      <w:r w:rsidR="005308B2">
        <w:rPr>
          <w:noProof/>
        </w:rPr>
        <w:t>1</w:t>
      </w:r>
      <w:r>
        <w:fldChar w:fldCharType="end"/>
      </w:r>
      <w:r w:rsidR="004E2A68">
        <w:t>. Note that according to [3</w:t>
      </w:r>
      <w:r>
        <w:t>], Scenario 2 is the most challenging scenario since it has a higher percentage of UEs having higher extra wall penetration loss. We will use Scenario 2 with 0.75 building penetration loss (BPL) correlation in the below discussion and evaluation.</w:t>
      </w:r>
    </w:p>
    <w:p w14:paraId="0DF7F48D" w14:textId="21437B7F" w:rsidR="00E15EB8" w:rsidRDefault="005C6E4B" w:rsidP="00E15EB8">
      <w:pPr>
        <w:pStyle w:val="BodyText"/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4D8A5DC7" wp14:editId="20AF4EFC">
            <wp:extent cx="4266000" cy="319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5D310" w14:textId="2E5D1060" w:rsidR="00E15EB8" w:rsidRDefault="00E15EB8" w:rsidP="00BB49A5">
      <w:pPr>
        <w:pStyle w:val="Caption"/>
      </w:pPr>
      <w:bookmarkStart w:id="1" w:name="_Ref4267100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Pr="00595F91">
        <w:t>Coupling loss distributions</w:t>
      </w:r>
      <w:r>
        <w:t xml:space="preserve"> for cases studied in GERAN </w:t>
      </w:r>
      <w:r>
        <w:br/>
      </w:r>
      <w:r w:rsidR="004E2A68">
        <w:t>(based on Annex D of [3</w:t>
      </w:r>
      <w:r>
        <w:t>]).</w:t>
      </w:r>
    </w:p>
    <w:p w14:paraId="6BAFA3F3" w14:textId="583217F1" w:rsidR="00F036C2" w:rsidRDefault="00F036C2" w:rsidP="00D53C98">
      <w:pPr>
        <w:pStyle w:val="Heading2"/>
      </w:pPr>
      <w:r>
        <w:t>Traffic model</w:t>
      </w:r>
    </w:p>
    <w:p w14:paraId="48D1CE19" w14:textId="23F808A5" w:rsidR="00F036C2" w:rsidRPr="00F036C2" w:rsidRDefault="00BB49A5" w:rsidP="00F036C2">
      <w:pPr>
        <w:rPr>
          <w:color w:val="000000"/>
          <w:szCs w:val="24"/>
        </w:rPr>
      </w:pPr>
      <w:r>
        <w:t xml:space="preserve">The traffic models adopted in the evaluation include </w:t>
      </w:r>
      <w:r w:rsidR="00CB2BFE" w:rsidRPr="0079202E">
        <w:t>Mobile Autonomous Reporting (MAR) periodic model and Network Command</w:t>
      </w:r>
      <w:r w:rsidR="00CB2BFE">
        <w:t xml:space="preserve"> (NC)</w:t>
      </w:r>
      <w:r w:rsidR="00CB2BFE" w:rsidRPr="0079202E">
        <w:t xml:space="preserve"> model</w:t>
      </w:r>
      <w:r w:rsidR="00CB2BFE">
        <w:t xml:space="preserve">. </w:t>
      </w:r>
      <w:r w:rsidR="00CB2BFE" w:rsidRPr="0079202E">
        <w:rPr>
          <w:color w:val="000000"/>
          <w:szCs w:val="24"/>
        </w:rPr>
        <w:t xml:space="preserve">The split of devices between MAR periodic and </w:t>
      </w:r>
      <w:r w:rsidR="00CB2BFE">
        <w:rPr>
          <w:color w:val="000000"/>
          <w:szCs w:val="24"/>
        </w:rPr>
        <w:t>NC is 80% for MAR</w:t>
      </w:r>
      <w:r w:rsidR="00CB2BFE" w:rsidRPr="0079202E">
        <w:rPr>
          <w:color w:val="000000"/>
          <w:szCs w:val="24"/>
        </w:rPr>
        <w:t xml:space="preserve"> and </w:t>
      </w:r>
      <w:r w:rsidR="00CB2BFE">
        <w:rPr>
          <w:color w:val="000000"/>
          <w:szCs w:val="24"/>
        </w:rPr>
        <w:t>20% for NC.</w:t>
      </w:r>
      <w:r>
        <w:rPr>
          <w:color w:val="000000"/>
          <w:szCs w:val="24"/>
        </w:rPr>
        <w:t xml:space="preserve"> </w:t>
      </w:r>
    </w:p>
    <w:p w14:paraId="5E0961B0" w14:textId="6079E3C1" w:rsidR="00F036C2" w:rsidRPr="0079202E" w:rsidRDefault="00F036C2" w:rsidP="00F036C2">
      <w:r w:rsidRPr="0079202E">
        <w:t xml:space="preserve">The MAR periodic reporting traffic model is </w:t>
      </w:r>
      <w:r>
        <w:t xml:space="preserve">based on </w:t>
      </w:r>
      <w:r w:rsidRPr="00F036C2">
        <w:t>Pareto distribut</w:t>
      </w:r>
      <w:r>
        <w:t xml:space="preserve">ion with shape parameter alpha of </w:t>
      </w:r>
      <w:r w:rsidRPr="00F036C2">
        <w:t xml:space="preserve"> 2.5 and minimum application payload size </w:t>
      </w:r>
      <w:r>
        <w:t xml:space="preserve">of </w:t>
      </w:r>
      <w:r w:rsidRPr="00F036C2">
        <w:t>20 bytes with a cut off of 200 bytes i.e. payloads higher than 200 bytes are assumed to be 200 bytes</w:t>
      </w:r>
      <w:r>
        <w:t>. The inter-</w:t>
      </w:r>
      <w:r w:rsidRPr="0079202E">
        <w:rPr>
          <w:color w:val="000000"/>
        </w:rPr>
        <w:t xml:space="preserve">arrival time periodicity </w:t>
      </w:r>
      <w:r>
        <w:rPr>
          <w:color w:val="000000"/>
        </w:rPr>
        <w:t>may be</w:t>
      </w:r>
      <w:r w:rsidRPr="0079202E">
        <w:rPr>
          <w:color w:val="000000"/>
        </w:rPr>
        <w:t xml:space="preserve"> 1 day (40%), 2 hours (40%), 1 hour (15%), and 30 minutes (5%)</w:t>
      </w:r>
      <w:r>
        <w:rPr>
          <w:color w:val="000000"/>
        </w:rPr>
        <w:t>.</w:t>
      </w:r>
      <w:r>
        <w:t xml:space="preserve"> </w:t>
      </w:r>
      <w:r w:rsidRPr="0079202E">
        <w:t>A DL application layer ACK for an uplink periodic reporting event is assumed in 50% of UL M</w:t>
      </w:r>
      <w:r w:rsidR="00C3078C">
        <w:t>AR periodic reports generated.</w:t>
      </w:r>
      <w:r w:rsidRPr="0079202E">
        <w:t xml:space="preserve"> The application downlink ACK payload size is assumed to be 0 bytes. The total packet size (above equivalent of SNDCP layer) is th</w:t>
      </w:r>
      <w:r>
        <w:t>e overhead due COAP/DTLS/UDP/IP</w:t>
      </w:r>
      <w:r w:rsidRPr="0079202E">
        <w:t xml:space="preserve"> and is </w:t>
      </w:r>
      <w:r w:rsidRPr="0079202E">
        <w:rPr>
          <w:rFonts w:hint="eastAsia"/>
        </w:rPr>
        <w:t>immediately sent after the base station successfully receives a</w:t>
      </w:r>
      <w:r w:rsidRPr="0079202E">
        <w:t>n</w:t>
      </w:r>
      <w:r w:rsidRPr="0079202E">
        <w:rPr>
          <w:rFonts w:hint="eastAsia"/>
        </w:rPr>
        <w:t xml:space="preserve"> </w:t>
      </w:r>
      <w:r w:rsidRPr="0079202E">
        <w:t xml:space="preserve">application </w:t>
      </w:r>
      <w:r>
        <w:rPr>
          <w:rFonts w:hint="eastAsia"/>
        </w:rPr>
        <w:t>UL packet.</w:t>
      </w:r>
    </w:p>
    <w:p w14:paraId="6F0C6028" w14:textId="44C49B82" w:rsidR="00F036C2" w:rsidRPr="00F036C2" w:rsidRDefault="00F036C2" w:rsidP="00CB2BFE">
      <w:r w:rsidRPr="0079202E">
        <w:t>The size of the downlink Network Command is assumed to be 20 bytes and the distribution of the periodic inter-arrival time is the</w:t>
      </w:r>
      <w:r>
        <w:t xml:space="preserve"> same as for MAR periodic model. </w:t>
      </w:r>
      <w:r w:rsidRPr="0079202E">
        <w:t>The distribution of the application payload size in response to the Network Command, where applicable, is the same as application payload size distribution of MAR periodic in Table E.2-1</w:t>
      </w:r>
      <w:r w:rsidR="00C3078C">
        <w:t xml:space="preserve"> of [</w:t>
      </w:r>
      <w:r w:rsidR="00BB6D59">
        <w:t>3</w:t>
      </w:r>
      <w:r w:rsidR="00C3078C">
        <w:t>]</w:t>
      </w:r>
      <w:r w:rsidRPr="0079202E">
        <w:t xml:space="preserve">. </w:t>
      </w:r>
    </w:p>
    <w:p w14:paraId="41463FDD" w14:textId="403D73B2" w:rsidR="00F036C2" w:rsidRDefault="00C3078C" w:rsidP="00CB2BFE">
      <w:r>
        <w:rPr>
          <w:color w:val="000000"/>
          <w:szCs w:val="24"/>
        </w:rPr>
        <w:t xml:space="preserve">Furthermore, </w:t>
      </w:r>
      <w:r w:rsidR="004E4B0F">
        <w:rPr>
          <w:color w:val="000000"/>
          <w:szCs w:val="24"/>
        </w:rPr>
        <w:t xml:space="preserve">a </w:t>
      </w:r>
      <w:proofErr w:type="gramStart"/>
      <w:r w:rsidR="00BB49A5">
        <w:t>Gb</w:t>
      </w:r>
      <w:proofErr w:type="gramEnd"/>
      <w:r w:rsidR="00BB49A5">
        <w:t xml:space="preserve"> architecture is assumed</w:t>
      </w:r>
      <w:r w:rsidR="00F036C2">
        <w:t xml:space="preserve">. We assume </w:t>
      </w:r>
      <w:r>
        <w:t xml:space="preserve">that </w:t>
      </w:r>
      <w:r w:rsidR="00F036C2">
        <w:t>header compression is not used, and thus the protocol overhead amounts to 65 bytes.</w:t>
      </w:r>
    </w:p>
    <w:p w14:paraId="7496BEE8" w14:textId="0C97CD95" w:rsidR="008B2F7C" w:rsidRDefault="00BB49A5" w:rsidP="00C557F9">
      <w:r>
        <w:t xml:space="preserve">All these simulation assumptions follow </w:t>
      </w:r>
      <w:r w:rsidRPr="00744D79">
        <w:rPr>
          <w:rFonts w:hint="eastAsia"/>
        </w:rPr>
        <w:t>sub</w:t>
      </w:r>
      <w:r w:rsidRPr="00744D79">
        <w:t>-</w:t>
      </w:r>
      <w:r w:rsidRPr="00744D79">
        <w:rPr>
          <w:rFonts w:hint="eastAsia"/>
        </w:rPr>
        <w:t>clause</w:t>
      </w:r>
      <w:r w:rsidRPr="00744D79">
        <w:t>s</w:t>
      </w:r>
      <w:r w:rsidRPr="00744D79">
        <w:rPr>
          <w:rFonts w:hint="eastAsia"/>
        </w:rPr>
        <w:t xml:space="preserve"> 5.2.2 </w:t>
      </w:r>
      <w:r w:rsidR="002032D4">
        <w:t>of [</w:t>
      </w:r>
      <w:r w:rsidR="00BB6D59">
        <w:t>3</w:t>
      </w:r>
      <w:r>
        <w:t>].</w:t>
      </w:r>
    </w:p>
    <w:p w14:paraId="0F1C4DD7" w14:textId="77777777" w:rsidR="00D53C98" w:rsidRDefault="00D53C98" w:rsidP="00D53C98">
      <w:pPr>
        <w:pStyle w:val="Heading2"/>
      </w:pPr>
      <w:r>
        <w:t>Additional simulation assumptions</w:t>
      </w:r>
    </w:p>
    <w:p w14:paraId="4BE2D8BE" w14:textId="0995F369" w:rsidR="00D53C98" w:rsidRDefault="00D53C98" w:rsidP="00D53C98">
      <w:r>
        <w:t xml:space="preserve">All the simulation assumptions relevant to system capacity analysis as described in [3] are used in our analysis. In this subsection, we list additional simulation assumptions used in our analysis. </w:t>
      </w:r>
    </w:p>
    <w:p w14:paraId="58A1CE3C" w14:textId="34E570C2" w:rsidR="00D53C98" w:rsidRDefault="00D53C98" w:rsidP="00D53C98">
      <w:r>
        <w:t>The</w:t>
      </w:r>
      <w:r w:rsidR="000E37DA">
        <w:t xml:space="preserve"> link-to-system (</w:t>
      </w:r>
      <w:r>
        <w:t>L2S</w:t>
      </w:r>
      <w:r w:rsidR="000E37DA">
        <w:t>)</w:t>
      </w:r>
      <w:r>
        <w:t xml:space="preserve"> models are </w:t>
      </w:r>
      <w:r w:rsidR="00AC75AA">
        <w:t xml:space="preserve">calibrated </w:t>
      </w:r>
      <w:r>
        <w:t>based on link-level simulation results included in [3]</w:t>
      </w:r>
      <w:r w:rsidR="002B75A7">
        <w:t xml:space="preserve"> for UEs who need 164 dB coupling loss, and [4] for UEs </w:t>
      </w:r>
      <w:r w:rsidR="00436CB0">
        <w:t>who need 144 dB and 15</w:t>
      </w:r>
      <w:r w:rsidR="002B75A7">
        <w:t>4 dB coupling loss</w:t>
      </w:r>
      <w:r w:rsidR="00AC75AA">
        <w:t>. The L2S model used in the system-level simulations is compared to link</w:t>
      </w:r>
      <w:r w:rsidR="00E32074">
        <w:t xml:space="preserve"> simulation results in </w:t>
      </w:r>
      <w:r w:rsidR="000E37DA">
        <w:fldChar w:fldCharType="begin"/>
      </w:r>
      <w:r w:rsidR="000E37DA">
        <w:instrText xml:space="preserve"> REF _Ref431210513 \h </w:instrText>
      </w:r>
      <w:r w:rsidR="000E37DA">
        <w:fldChar w:fldCharType="separate"/>
      </w:r>
      <w:r w:rsidR="005308B2">
        <w:t xml:space="preserve">Figure </w:t>
      </w:r>
      <w:r w:rsidR="005308B2">
        <w:rPr>
          <w:noProof/>
        </w:rPr>
        <w:t>2</w:t>
      </w:r>
      <w:r w:rsidR="000E37DA">
        <w:fldChar w:fldCharType="end"/>
      </w:r>
      <w:r w:rsidR="000E37DA">
        <w:t xml:space="preserve"> and </w:t>
      </w:r>
      <w:r w:rsidR="000E37DA">
        <w:fldChar w:fldCharType="begin"/>
      </w:r>
      <w:r w:rsidR="000E37DA">
        <w:instrText xml:space="preserve"> REF _Ref431210515 \h </w:instrText>
      </w:r>
      <w:r w:rsidR="000E37DA">
        <w:fldChar w:fldCharType="separate"/>
      </w:r>
      <w:r w:rsidR="005308B2">
        <w:t xml:space="preserve">Figure </w:t>
      </w:r>
      <w:r w:rsidR="005308B2">
        <w:rPr>
          <w:noProof/>
        </w:rPr>
        <w:t>3</w:t>
      </w:r>
      <w:r w:rsidR="000E37DA">
        <w:fldChar w:fldCharType="end"/>
      </w:r>
      <w:r w:rsidR="000E37DA">
        <w:t xml:space="preserve"> for downlink and uplink, respectively. For DL, the L2S model matches link simulation results almost perfectly. For UL, the L2S model does not capture the time diversity</w:t>
      </w:r>
      <w:r w:rsidR="003C2EFD">
        <w:t xml:space="preserve"> for the extreme coverage case (i.e. 164 dB MCL), and thus the </w:t>
      </w:r>
      <w:r w:rsidR="00EE49B3">
        <w:t xml:space="preserve">L2S model </w:t>
      </w:r>
      <w:r w:rsidR="003C2EFD">
        <w:t>for UEs in extremely poor coverage condition are pessimistic.</w:t>
      </w:r>
    </w:p>
    <w:p w14:paraId="697295A6" w14:textId="45890A48" w:rsidR="00AC75AA" w:rsidRDefault="00E32074" w:rsidP="00D53C98">
      <w:r w:rsidRPr="00E32074">
        <w:rPr>
          <w:noProof/>
          <w:lang w:val="en-US" w:eastAsia="zh-TW"/>
        </w:rPr>
        <w:lastRenderedPageBreak/>
        <w:drawing>
          <wp:inline distT="0" distB="0" distL="0" distR="0" wp14:anchorId="3FED91C2" wp14:editId="49F81680">
            <wp:extent cx="6115050" cy="2614456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1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47153" w14:textId="2C490D74" w:rsidR="00E32074" w:rsidRDefault="00E32074" w:rsidP="00E32074">
      <w:pPr>
        <w:pStyle w:val="Caption"/>
      </w:pPr>
      <w:bookmarkStart w:id="2" w:name="_Ref4312105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2</w:t>
      </w:r>
      <w:r>
        <w:fldChar w:fldCharType="end"/>
      </w:r>
      <w:bookmarkEnd w:id="2"/>
      <w:r>
        <w:t>: Comparison of L2S model and actual link simulation results (DL).</w:t>
      </w:r>
    </w:p>
    <w:p w14:paraId="689A239B" w14:textId="413C7402" w:rsidR="000E37DA" w:rsidRPr="000E37DA" w:rsidRDefault="000E37DA" w:rsidP="000E37DA">
      <w:r w:rsidRPr="000E37DA">
        <w:rPr>
          <w:noProof/>
          <w:lang w:val="en-US" w:eastAsia="zh-TW"/>
        </w:rPr>
        <w:drawing>
          <wp:inline distT="0" distB="0" distL="0" distR="0" wp14:anchorId="2826E3F2" wp14:editId="6DFFE34E">
            <wp:extent cx="6115050" cy="2624055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2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88CE0" w14:textId="7E5CB06E" w:rsidR="00AC75AA" w:rsidRDefault="000E37DA" w:rsidP="000E37DA">
      <w:pPr>
        <w:pStyle w:val="Caption"/>
      </w:pPr>
      <w:bookmarkStart w:id="3" w:name="_Ref4312105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3</w:t>
      </w:r>
      <w:r>
        <w:fldChar w:fldCharType="end"/>
      </w:r>
      <w:bookmarkEnd w:id="3"/>
      <w:r>
        <w:t>: Comparison of L2S model and actual link simulation results (UL).</w:t>
      </w:r>
    </w:p>
    <w:p w14:paraId="1FA18569" w14:textId="7C5AB736" w:rsidR="005A624C" w:rsidRDefault="005A624C" w:rsidP="00D53C98">
      <w:r>
        <w:t xml:space="preserve">Imperfect link adaptation is assumed, and we model the link adaption error as a normally distributed random variable, which has zero mean and </w:t>
      </w:r>
      <w:r w:rsidRPr="005A624C">
        <w:t>3dB</w:t>
      </w:r>
      <w:r>
        <w:t xml:space="preserve"> standard deviation. This error term</w:t>
      </w:r>
      <w:r w:rsidRPr="005A624C">
        <w:t xml:space="preserve"> is added to the true SINR before selecting MCS.</w:t>
      </w:r>
      <w:r w:rsidR="00932F32">
        <w:t xml:space="preserve"> The MCS combinations used in the evaluation are presented in </w:t>
      </w:r>
      <w:r w:rsidR="003E6CBA">
        <w:t>Table 1.</w:t>
      </w:r>
    </w:p>
    <w:p w14:paraId="3F338808" w14:textId="77777777" w:rsidR="003E6CBA" w:rsidRDefault="003E6CBA" w:rsidP="00D53C98"/>
    <w:p w14:paraId="5F881CFE" w14:textId="5E8F4B33" w:rsidR="00932F32" w:rsidRPr="00641394" w:rsidRDefault="003E6CBA" w:rsidP="00D77539">
      <w:pPr>
        <w:pStyle w:val="Caption"/>
      </w:pPr>
      <w:r w:rsidRPr="00641394">
        <w:t>Table 1: MCS used for the evaluation</w:t>
      </w:r>
    </w:p>
    <w:tbl>
      <w:tblPr>
        <w:tblStyle w:val="TableGrid"/>
        <w:tblW w:w="8168" w:type="dxa"/>
        <w:tblInd w:w="733" w:type="dxa"/>
        <w:tblLook w:val="04A0" w:firstRow="1" w:lastRow="0" w:firstColumn="1" w:lastColumn="0" w:noHBand="0" w:noVBand="1"/>
      </w:tblPr>
      <w:tblGrid>
        <w:gridCol w:w="1428"/>
        <w:gridCol w:w="883"/>
        <w:gridCol w:w="788"/>
        <w:gridCol w:w="788"/>
        <w:gridCol w:w="788"/>
        <w:gridCol w:w="761"/>
        <w:gridCol w:w="691"/>
        <w:gridCol w:w="691"/>
        <w:gridCol w:w="656"/>
        <w:gridCol w:w="694"/>
      </w:tblGrid>
      <w:tr w:rsidR="00932F32" w14:paraId="25CDC5FB" w14:textId="11B460FF" w:rsidTr="00D77539">
        <w:trPr>
          <w:trHeight w:val="327"/>
        </w:trPr>
        <w:tc>
          <w:tcPr>
            <w:tcW w:w="1428" w:type="dxa"/>
          </w:tcPr>
          <w:p w14:paraId="54EB71FA" w14:textId="254E2D5F" w:rsidR="00932F32" w:rsidRDefault="00932F32" w:rsidP="00D77539">
            <w:pPr>
              <w:jc w:val="center"/>
            </w:pPr>
            <w:r>
              <w:t>Link direction</w:t>
            </w:r>
          </w:p>
        </w:tc>
        <w:tc>
          <w:tcPr>
            <w:tcW w:w="6740" w:type="dxa"/>
            <w:gridSpan w:val="9"/>
          </w:tcPr>
          <w:p w14:paraId="4FF9D8A6" w14:textId="25B407DF" w:rsidR="00932F32" w:rsidRDefault="00932F32" w:rsidP="00D77539">
            <w:pPr>
              <w:jc w:val="center"/>
            </w:pPr>
            <w:r>
              <w:t>Code rate (and modulation, if not QPSK)</w:t>
            </w:r>
          </w:p>
        </w:tc>
      </w:tr>
      <w:tr w:rsidR="003E6CBA" w14:paraId="6B74AF02" w14:textId="3EF9331E" w:rsidTr="003E6CBA">
        <w:trPr>
          <w:trHeight w:val="314"/>
        </w:trPr>
        <w:tc>
          <w:tcPr>
            <w:tcW w:w="1428" w:type="dxa"/>
          </w:tcPr>
          <w:p w14:paraId="62310267" w14:textId="250B8F3E" w:rsidR="00932F32" w:rsidRDefault="00932F32" w:rsidP="00D53C98">
            <w:r>
              <w:t>Downlink</w:t>
            </w:r>
          </w:p>
        </w:tc>
        <w:tc>
          <w:tcPr>
            <w:tcW w:w="883" w:type="dxa"/>
          </w:tcPr>
          <w:p w14:paraId="0D36098E" w14:textId="7171D858" w:rsidR="00932F32" w:rsidRDefault="00932F32" w:rsidP="00D53C98">
            <w:r>
              <w:t>0.01</w:t>
            </w:r>
          </w:p>
        </w:tc>
        <w:tc>
          <w:tcPr>
            <w:tcW w:w="788" w:type="dxa"/>
          </w:tcPr>
          <w:p w14:paraId="6D1941C8" w14:textId="3785AD31" w:rsidR="00932F32" w:rsidRDefault="00932F32" w:rsidP="00D53C98">
            <w:r>
              <w:t>0.02</w:t>
            </w:r>
          </w:p>
        </w:tc>
        <w:tc>
          <w:tcPr>
            <w:tcW w:w="788" w:type="dxa"/>
          </w:tcPr>
          <w:p w14:paraId="7CFD9482" w14:textId="1E5208FE" w:rsidR="00932F32" w:rsidRDefault="00932F32" w:rsidP="00D53C98">
            <w:r>
              <w:t>1/30</w:t>
            </w:r>
          </w:p>
        </w:tc>
        <w:tc>
          <w:tcPr>
            <w:tcW w:w="788" w:type="dxa"/>
          </w:tcPr>
          <w:p w14:paraId="27372D00" w14:textId="4C2FCA18" w:rsidR="00932F32" w:rsidRDefault="00932F32" w:rsidP="00D53C98">
            <w:r>
              <w:t>1/12</w:t>
            </w:r>
          </w:p>
        </w:tc>
        <w:tc>
          <w:tcPr>
            <w:tcW w:w="761" w:type="dxa"/>
          </w:tcPr>
          <w:p w14:paraId="0AC61087" w14:textId="6068E20B" w:rsidR="00932F32" w:rsidRDefault="00932F32" w:rsidP="00D53C98">
            <w:r>
              <w:t>1/6</w:t>
            </w:r>
          </w:p>
        </w:tc>
        <w:tc>
          <w:tcPr>
            <w:tcW w:w="691" w:type="dxa"/>
          </w:tcPr>
          <w:p w14:paraId="5B59ADF7" w14:textId="2A5B3522" w:rsidR="00932F32" w:rsidRDefault="00932F32" w:rsidP="00D53C98">
            <w:r>
              <w:t>1/3</w:t>
            </w:r>
          </w:p>
        </w:tc>
        <w:tc>
          <w:tcPr>
            <w:tcW w:w="691" w:type="dxa"/>
          </w:tcPr>
          <w:p w14:paraId="676C74B0" w14:textId="0812337E" w:rsidR="00932F32" w:rsidRDefault="00932F32" w:rsidP="00D53C98">
            <w:r>
              <w:t>1/2</w:t>
            </w:r>
          </w:p>
        </w:tc>
        <w:tc>
          <w:tcPr>
            <w:tcW w:w="656" w:type="dxa"/>
          </w:tcPr>
          <w:p w14:paraId="49FD9BB5" w14:textId="723E11C6" w:rsidR="00932F32" w:rsidRDefault="00932F32" w:rsidP="00D53C98">
            <w:r>
              <w:t>0.7</w:t>
            </w:r>
          </w:p>
        </w:tc>
        <w:tc>
          <w:tcPr>
            <w:tcW w:w="694" w:type="dxa"/>
          </w:tcPr>
          <w:p w14:paraId="792AE56E" w14:textId="523CD2FD" w:rsidR="00932F32" w:rsidRDefault="00932F32" w:rsidP="00D53C98">
            <w:r>
              <w:t>0.93</w:t>
            </w:r>
          </w:p>
        </w:tc>
      </w:tr>
      <w:tr w:rsidR="003E6CBA" w14:paraId="617570B6" w14:textId="7DB09D80" w:rsidTr="00933809">
        <w:trPr>
          <w:trHeight w:val="338"/>
        </w:trPr>
        <w:tc>
          <w:tcPr>
            <w:tcW w:w="1428" w:type="dxa"/>
          </w:tcPr>
          <w:p w14:paraId="766AC0C1" w14:textId="478305E7" w:rsidR="003E6CBA" w:rsidRDefault="003E6CBA" w:rsidP="00D53C98">
            <w:r>
              <w:t>Uplink</w:t>
            </w:r>
          </w:p>
        </w:tc>
        <w:tc>
          <w:tcPr>
            <w:tcW w:w="883" w:type="dxa"/>
          </w:tcPr>
          <w:p w14:paraId="7871B501" w14:textId="027709B5" w:rsidR="003E6CBA" w:rsidRDefault="003E6CBA" w:rsidP="00D53C98">
            <w:r>
              <w:t>0.21 (BPSK)</w:t>
            </w:r>
          </w:p>
        </w:tc>
        <w:tc>
          <w:tcPr>
            <w:tcW w:w="788" w:type="dxa"/>
          </w:tcPr>
          <w:p w14:paraId="3D39E22C" w14:textId="2BBC1768" w:rsidR="003E6CBA" w:rsidRDefault="003E6CBA" w:rsidP="00D53C98">
            <w:r>
              <w:t>0.26</w:t>
            </w:r>
          </w:p>
        </w:tc>
        <w:tc>
          <w:tcPr>
            <w:tcW w:w="788" w:type="dxa"/>
          </w:tcPr>
          <w:p w14:paraId="70A680BB" w14:textId="69DAC287" w:rsidR="003E6CBA" w:rsidRDefault="003E6CBA" w:rsidP="00D53C98">
            <w:r>
              <w:t>0.33</w:t>
            </w:r>
          </w:p>
        </w:tc>
        <w:tc>
          <w:tcPr>
            <w:tcW w:w="788" w:type="dxa"/>
          </w:tcPr>
          <w:p w14:paraId="3EA58277" w14:textId="0865AC68" w:rsidR="003E6CBA" w:rsidRDefault="003E6CBA" w:rsidP="00D53C98">
            <w:r>
              <w:t>0.7</w:t>
            </w:r>
          </w:p>
        </w:tc>
        <w:tc>
          <w:tcPr>
            <w:tcW w:w="761" w:type="dxa"/>
          </w:tcPr>
          <w:p w14:paraId="6E8AE4B9" w14:textId="3F93D2D2" w:rsidR="003E6CBA" w:rsidRDefault="003E6CBA" w:rsidP="00D53C98">
            <w:r>
              <w:t>0.93</w:t>
            </w:r>
          </w:p>
        </w:tc>
        <w:tc>
          <w:tcPr>
            <w:tcW w:w="2732" w:type="dxa"/>
            <w:gridSpan w:val="4"/>
          </w:tcPr>
          <w:p w14:paraId="7B9730F5" w14:textId="77777777" w:rsidR="003E6CBA" w:rsidRDefault="003E6CBA" w:rsidP="00D53C98"/>
        </w:tc>
      </w:tr>
    </w:tbl>
    <w:p w14:paraId="707C9526" w14:textId="77777777" w:rsidR="00932F32" w:rsidRDefault="00932F32" w:rsidP="00D53C98"/>
    <w:p w14:paraId="23B919B7" w14:textId="0FE388A6" w:rsidR="00D53C98" w:rsidRDefault="00D53C98" w:rsidP="00C557F9">
      <w:r>
        <w:t>For downlink, we assume 25% overhead for common and control channels. Thus, only 75% of the total resource elements are used for M-PDSCH. For uplink we assume that 40% overhead for control channels, and thus only 60% of radio resources are used for M-PUSCH.</w:t>
      </w:r>
    </w:p>
    <w:p w14:paraId="34225B9C" w14:textId="05848101" w:rsidR="00EA1675" w:rsidRDefault="00EA1675" w:rsidP="00EA1675">
      <w:pPr>
        <w:pStyle w:val="Heading1"/>
      </w:pPr>
      <w:r>
        <w:lastRenderedPageBreak/>
        <w:t>Simulation results</w:t>
      </w:r>
    </w:p>
    <w:p w14:paraId="6A5F53EF" w14:textId="6123901A" w:rsidR="00F90028" w:rsidRDefault="00C3078C" w:rsidP="00EA1675">
      <w:pPr>
        <w:spacing w:before="120"/>
      </w:pPr>
      <w:r>
        <w:t xml:space="preserve">System-level simulations are used to analyse the achievable system capacity. </w:t>
      </w:r>
      <w:r w:rsidR="00AC49FD">
        <w:t>Uplink c</w:t>
      </w:r>
      <w:r w:rsidR="00EA1675" w:rsidRPr="006F3EE5">
        <w:rPr>
          <w:rFonts w:hint="eastAsia"/>
        </w:rPr>
        <w:t>apacity results are shown in</w:t>
      </w:r>
      <w:r w:rsidR="00594C0E">
        <w:t xml:space="preserve"> </w:t>
      </w:r>
      <w:r w:rsidR="00594C0E">
        <w:fldChar w:fldCharType="begin"/>
      </w:r>
      <w:r w:rsidR="00594C0E">
        <w:instrText xml:space="preserve"> REF _Ref429234139 \h </w:instrText>
      </w:r>
      <w:r w:rsidR="00594C0E">
        <w:fldChar w:fldCharType="separate"/>
      </w:r>
      <w:r w:rsidR="005308B2">
        <w:t xml:space="preserve">Figure </w:t>
      </w:r>
      <w:r w:rsidR="005308B2">
        <w:rPr>
          <w:noProof/>
        </w:rPr>
        <w:t>4</w:t>
      </w:r>
      <w:r w:rsidR="00594C0E">
        <w:fldChar w:fldCharType="end"/>
      </w:r>
      <w:r w:rsidR="00EA1675" w:rsidRPr="006F3EE5">
        <w:t xml:space="preserve">. </w:t>
      </w:r>
      <w:r w:rsidR="00EA1675" w:rsidRPr="006F3EE5">
        <w:rPr>
          <w:rFonts w:hint="eastAsia"/>
        </w:rPr>
        <w:t xml:space="preserve">The </w:t>
      </w:r>
      <w:r w:rsidR="00FB55B9">
        <w:t>vertical black</w:t>
      </w:r>
      <w:r w:rsidR="00EA1675" w:rsidRPr="006F3EE5">
        <w:t xml:space="preserve"> line represents the target </w:t>
      </w:r>
      <w:r w:rsidR="00EA1675" w:rsidRPr="006F3EE5">
        <w:rPr>
          <w:rFonts w:hint="eastAsia"/>
        </w:rPr>
        <w:t>n</w:t>
      </w:r>
      <w:r w:rsidR="00EA1675" w:rsidRPr="006F3EE5">
        <w:t>umber of devices within a sector</w:t>
      </w:r>
      <w:r w:rsidR="00EA1675" w:rsidRPr="006F3EE5">
        <w:rPr>
          <w:rFonts w:hint="eastAsia"/>
        </w:rPr>
        <w:t xml:space="preserve"> </w:t>
      </w:r>
      <w:r w:rsidR="00EA1675" w:rsidRPr="006F3EE5">
        <w:t>taken from</w:t>
      </w:r>
      <w:r w:rsidR="00EA1675" w:rsidRPr="006F3EE5">
        <w:rPr>
          <w:rFonts w:hint="eastAsia"/>
        </w:rPr>
        <w:t xml:space="preserve"> Table E.1-1 </w:t>
      </w:r>
      <w:r w:rsidR="00EA1675">
        <w:t xml:space="preserve">in </w:t>
      </w:r>
      <w:r w:rsidR="00AC49FD">
        <w:t>[3</w:t>
      </w:r>
      <w:r w:rsidR="007403FA">
        <w:t>]</w:t>
      </w:r>
      <w:r w:rsidR="00EA1675" w:rsidRPr="006F3EE5">
        <w:t>.</w:t>
      </w:r>
      <w:r w:rsidR="00EA1675">
        <w:t xml:space="preserve"> </w:t>
      </w:r>
      <w:r w:rsidR="002F4BED">
        <w:t xml:space="preserve">It can be seen </w:t>
      </w:r>
      <w:r w:rsidR="00946B13">
        <w:t xml:space="preserve">that </w:t>
      </w:r>
      <w:r w:rsidR="002F4BED">
        <w:t>NB-LTE easily meet</w:t>
      </w:r>
      <w:r>
        <w:t>s</w:t>
      </w:r>
      <w:r w:rsidR="002F4BED">
        <w:t xml:space="preserve"> the capacity target</w:t>
      </w:r>
      <w:r w:rsidR="00893C59">
        <w:t xml:space="preserve"> for both re-use factors investigated</w:t>
      </w:r>
      <w:r w:rsidR="002F4BED">
        <w:t>. Furthermore, reuse 1 achieves much higher capacity than reuse 3</w:t>
      </w:r>
      <w:r w:rsidR="00893C59">
        <w:t>. This is due to the fact that</w:t>
      </w:r>
      <w:r w:rsidR="00AC49FD">
        <w:t xml:space="preserve"> each cell has much more radio resources to serve the uplink traffic and the benefit of such outweighs the increase in inter-cell interference</w:t>
      </w:r>
      <w:r w:rsidR="003F76F6">
        <w:t xml:space="preserve">. The uplink capacity of NB </w:t>
      </w:r>
      <w:proofErr w:type="spellStart"/>
      <w:r w:rsidR="003F76F6">
        <w:t>CIoT</w:t>
      </w:r>
      <w:proofErr w:type="spellEnd"/>
      <w:r w:rsidR="003F76F6">
        <w:t xml:space="preserve"> can be found in </w:t>
      </w:r>
      <w:proofErr w:type="spellStart"/>
      <w:r w:rsidR="003F76F6">
        <w:t>subclause</w:t>
      </w:r>
      <w:proofErr w:type="spellEnd"/>
      <w:r w:rsidR="003F76F6">
        <w:t xml:space="preserve"> 7.3.6.2.1.5 of [3], which is included in </w:t>
      </w:r>
      <w:r w:rsidR="003F76F6">
        <w:fldChar w:fldCharType="begin"/>
      </w:r>
      <w:r w:rsidR="003F76F6">
        <w:instrText xml:space="preserve"> REF _Ref431211745 \h </w:instrText>
      </w:r>
      <w:r w:rsidR="003F76F6">
        <w:fldChar w:fldCharType="separate"/>
      </w:r>
      <w:r w:rsidR="005308B2">
        <w:t xml:space="preserve">Figure </w:t>
      </w:r>
      <w:r w:rsidR="005308B2">
        <w:rPr>
          <w:noProof/>
        </w:rPr>
        <w:t>5</w:t>
      </w:r>
      <w:r w:rsidR="003F76F6">
        <w:fldChar w:fldCharType="end"/>
      </w:r>
      <w:r w:rsidR="003F76F6">
        <w:t xml:space="preserve"> below. Note that in </w:t>
      </w:r>
      <w:r w:rsidR="003F76F6">
        <w:fldChar w:fldCharType="begin"/>
      </w:r>
      <w:r w:rsidR="003F76F6">
        <w:instrText xml:space="preserve"> REF _Ref431211745 \h </w:instrText>
      </w:r>
      <w:r w:rsidR="003F76F6">
        <w:fldChar w:fldCharType="separate"/>
      </w:r>
      <w:r w:rsidR="005308B2">
        <w:t xml:space="preserve">Figure </w:t>
      </w:r>
      <w:r w:rsidR="005308B2">
        <w:rPr>
          <w:noProof/>
        </w:rPr>
        <w:t>5</w:t>
      </w:r>
      <w:r w:rsidR="003F76F6">
        <w:fldChar w:fldCharType="end"/>
      </w:r>
      <w:r w:rsidR="003F76F6">
        <w:t xml:space="preserve">, “case 8” </w:t>
      </w:r>
      <w:r w:rsidR="003F76F6" w:rsidRPr="003F76F6">
        <w:t xml:space="preserve">corresponds to scenario 2 with 0.75 BPL </w:t>
      </w:r>
      <w:proofErr w:type="gramStart"/>
      <w:r w:rsidR="003F76F6" w:rsidRPr="003F76F6">
        <w:t>correlation</w:t>
      </w:r>
      <w:proofErr w:type="gramEnd"/>
      <w:r w:rsidR="003F76F6" w:rsidRPr="003F76F6">
        <w:t>.</w:t>
      </w:r>
      <w:r w:rsidR="003F76F6">
        <w:t xml:space="preserve"> Observe that, NB </w:t>
      </w:r>
      <w:proofErr w:type="spellStart"/>
      <w:r w:rsidR="003F76F6">
        <w:t>CIoT</w:t>
      </w:r>
      <w:proofErr w:type="spellEnd"/>
      <w:r w:rsidR="003F76F6">
        <w:t xml:space="preserve"> uplink capacity starts to deviate from linear slope, indicating that system starts to </w:t>
      </w:r>
      <w:r w:rsidR="00357D7F">
        <w:t>enter</w:t>
      </w:r>
      <w:r w:rsidR="003F76F6">
        <w:t xml:space="preserve"> the capacity saturation region at the ta</w:t>
      </w:r>
      <w:r w:rsidR="00357D7F">
        <w:t>r</w:t>
      </w:r>
      <w:r w:rsidR="003F76F6">
        <w:t>get capacity level of 52</w:t>
      </w:r>
      <w:r w:rsidR="00357D7F">
        <w:t>,</w:t>
      </w:r>
      <w:r w:rsidR="003F76F6">
        <w:t>500 devices per cell</w:t>
      </w:r>
      <w:r w:rsidR="00357D7F">
        <w:t>. In comparison, NB-LTE uplink with reu</w:t>
      </w:r>
      <w:r w:rsidR="00932F32">
        <w:t>s</w:t>
      </w:r>
      <w:r w:rsidR="00357D7F">
        <w:t xml:space="preserve">e 3 has capacity </w:t>
      </w:r>
      <w:r w:rsidR="00AA326A">
        <w:t>deviate</w:t>
      </w:r>
      <w:r w:rsidR="00357D7F">
        <w:t xml:space="preserve"> from the linear slope at 78,000 devices per cell,</w:t>
      </w:r>
      <w:r w:rsidR="00F90028">
        <w:t xml:space="preserve"> which is approximately 48% higher than NB </w:t>
      </w:r>
      <w:proofErr w:type="spellStart"/>
      <w:r w:rsidR="00F90028">
        <w:t>CIoT</w:t>
      </w:r>
      <w:proofErr w:type="spellEnd"/>
      <w:r w:rsidR="00F90028">
        <w:t>.</w:t>
      </w:r>
      <w:r w:rsidR="00AA326A">
        <w:t xml:space="preserve"> Fundamentally, NB-LTE uplink is much more spectrally efficient than NB </w:t>
      </w:r>
      <w:proofErr w:type="spellStart"/>
      <w:r w:rsidR="00AA326A">
        <w:t>CIoT</w:t>
      </w:r>
      <w:proofErr w:type="spellEnd"/>
      <w:r w:rsidR="00AA326A">
        <w:t xml:space="preserve"> uplink, partly due to the benefit of SC-FDMA which packs subcarriers tightly at the expense of 7% overhead for cyclic prefix. On the other hand, NB </w:t>
      </w:r>
      <w:proofErr w:type="spellStart"/>
      <w:r w:rsidR="00AA326A">
        <w:t>CIoT</w:t>
      </w:r>
      <w:proofErr w:type="spellEnd"/>
      <w:r w:rsidR="00AA326A">
        <w:t xml:space="preserve"> uplink requires </w:t>
      </w:r>
      <w:r w:rsidR="00403F75">
        <w:t xml:space="preserve">33% overhead for </w:t>
      </w:r>
      <w:proofErr w:type="spellStart"/>
      <w:r w:rsidR="00403F75">
        <w:t>guardband</w:t>
      </w:r>
      <w:proofErr w:type="spellEnd"/>
      <w:r w:rsidR="00403F75">
        <w:t xml:space="preserve"> between two FDMA carriers. Furthermore, NB-LTE supports MCS with QPSK and coding rate </w:t>
      </w:r>
      <w:r w:rsidR="00C300BF">
        <w:t xml:space="preserve">up to </w:t>
      </w:r>
      <w:r w:rsidR="00403F75">
        <w:t xml:space="preserve">0.93. Thus, the maximum spectral efficiency is </w:t>
      </w:r>
      <w:proofErr w:type="gramStart"/>
      <w:r w:rsidR="00403F75">
        <w:t>1.49 bps/Hz</w:t>
      </w:r>
      <w:proofErr w:type="gramEnd"/>
      <w:r w:rsidR="00403F75">
        <w:t xml:space="preserve"> for QPSK, accounting for CP and demodulation reference symbols (DMRS) overheads. This can be easily calculated as </w:t>
      </w:r>
      <w:r w:rsidR="00C300BF">
        <w:t>follows. T</w:t>
      </w:r>
      <w:r w:rsidR="00403F75">
        <w:t>here are 12 QPSK symbols in one 6-ms M-</w:t>
      </w:r>
      <w:proofErr w:type="spellStart"/>
      <w:r w:rsidR="00403F75">
        <w:t>subframe</w:t>
      </w:r>
      <w:proofErr w:type="spellEnd"/>
      <w:r w:rsidR="00403F75">
        <w:t xml:space="preserve"> and 2.5 kHz bandwidth, giving maximal spectral efficiency with coding rate 0.93 as</w:t>
      </w:r>
    </w:p>
    <w:p w14:paraId="3010D47F" w14:textId="548262AE" w:rsidR="00403F75" w:rsidRDefault="00403F75" w:rsidP="00403F75">
      <w:pPr>
        <w:spacing w:before="120"/>
        <w:ind w:left="1440" w:firstLine="720"/>
      </w:pPr>
      <w:proofErr w:type="gramStart"/>
      <w:r>
        <w:t>0.93*2*12/</w:t>
      </w:r>
      <w:r w:rsidR="001C7E6B">
        <w:t>0.00</w:t>
      </w:r>
      <w:r>
        <w:t>6/25</w:t>
      </w:r>
      <w:r w:rsidR="001C7E6B">
        <w:t>00</w:t>
      </w:r>
      <w:r>
        <w:t>=1.49 bits/second/Hz.</w:t>
      </w:r>
      <w:proofErr w:type="gramEnd"/>
    </w:p>
    <w:p w14:paraId="05664AD3" w14:textId="35571A65" w:rsidR="00403F75" w:rsidRDefault="00403F75" w:rsidP="00EA1675">
      <w:pPr>
        <w:spacing w:before="120"/>
      </w:pPr>
      <w:r>
        <w:t xml:space="preserve">The maximal spectral efficiency for NB </w:t>
      </w:r>
      <w:proofErr w:type="spellStart"/>
      <w:r>
        <w:t>CIoT</w:t>
      </w:r>
      <w:proofErr w:type="spellEnd"/>
      <w:r>
        <w:t xml:space="preserve"> uplink before accounting for frequency reuse is </w:t>
      </w:r>
      <w:proofErr w:type="gramStart"/>
      <w:r w:rsidR="00C300BF">
        <w:t>0.37 bps/Hz</w:t>
      </w:r>
      <w:proofErr w:type="gramEnd"/>
      <w:r w:rsidR="00C300BF">
        <w:t>. This is calculated based on Table 7.3.3.1-2 in [3], according to which</w:t>
      </w:r>
      <w:r w:rsidR="00C300BF" w:rsidRPr="00C300BF">
        <w:t xml:space="preserve"> </w:t>
      </w:r>
      <w:r w:rsidR="00C300BF">
        <w:t>GMSK modulation</w:t>
      </w:r>
      <w:r w:rsidR="00C300BF" w:rsidRPr="00C300BF">
        <w:t xml:space="preserve"> </w:t>
      </w:r>
      <w:r w:rsidR="00DA6384">
        <w:t>achieves 1.83 </w:t>
      </w:r>
      <w:r w:rsidR="003E6CBA">
        <w:t xml:space="preserve">kbps per 5 kHz </w:t>
      </w:r>
      <w:r w:rsidR="00DA6384">
        <w:t xml:space="preserve">bandwidth or </w:t>
      </w:r>
      <w:r w:rsidR="00C300BF" w:rsidRPr="00C300BF">
        <w:t>14.7 kbps over 40 kHz</w:t>
      </w:r>
      <w:r w:rsidR="00DA6384">
        <w:t xml:space="preserve"> (bonding factor 8)</w:t>
      </w:r>
      <w:r w:rsidR="00C300BF" w:rsidRPr="00C300BF">
        <w:t>, and consequently a maximum spectral efficiency of 0.37 bps/Hz.</w:t>
      </w:r>
      <w:r w:rsidR="003E6CBA">
        <w:t xml:space="preserve"> The </w:t>
      </w:r>
      <w:r w:rsidR="00DA6384">
        <w:t xml:space="preserve">spectral efficiency </w:t>
      </w:r>
      <w:r w:rsidR="003E6CBA">
        <w:t>comparison is summarized in Table 2.</w:t>
      </w:r>
    </w:p>
    <w:p w14:paraId="098F34D4" w14:textId="3919A0FE" w:rsidR="003E6CBA" w:rsidRDefault="003E6CBA" w:rsidP="00D77539">
      <w:pPr>
        <w:pStyle w:val="Caption"/>
      </w:pPr>
      <w:r>
        <w:t>Table 2: Maximum uplink spectral efficiency</w:t>
      </w:r>
    </w:p>
    <w:tbl>
      <w:tblPr>
        <w:tblStyle w:val="TableGrid"/>
        <w:tblW w:w="0" w:type="auto"/>
        <w:tblInd w:w="2373" w:type="dxa"/>
        <w:tblLook w:val="04A0" w:firstRow="1" w:lastRow="0" w:firstColumn="1" w:lastColumn="0" w:noHBand="0" w:noVBand="1"/>
      </w:tblPr>
      <w:tblGrid>
        <w:gridCol w:w="2442"/>
        <w:gridCol w:w="2443"/>
      </w:tblGrid>
      <w:tr w:rsidR="003E6CBA" w14:paraId="214D12FE" w14:textId="77777777" w:rsidTr="00D77539">
        <w:tc>
          <w:tcPr>
            <w:tcW w:w="4885" w:type="dxa"/>
            <w:gridSpan w:val="2"/>
          </w:tcPr>
          <w:p w14:paraId="62604A37" w14:textId="024D1A83" w:rsidR="003E6CBA" w:rsidRDefault="003E6CBA" w:rsidP="00D77539">
            <w:pPr>
              <w:spacing w:before="120"/>
              <w:jc w:val="center"/>
            </w:pPr>
            <w:r>
              <w:t>Maximum UL spectral efficiency [bps/Hz]</w:t>
            </w:r>
          </w:p>
        </w:tc>
      </w:tr>
      <w:tr w:rsidR="003E6CBA" w14:paraId="6CA25945" w14:textId="77777777" w:rsidTr="00D77539">
        <w:tc>
          <w:tcPr>
            <w:tcW w:w="2442" w:type="dxa"/>
          </w:tcPr>
          <w:p w14:paraId="0205B1A5" w14:textId="4574AC16" w:rsidR="003E6CBA" w:rsidRDefault="003E6CBA" w:rsidP="00D77539">
            <w:pPr>
              <w:spacing w:before="120"/>
              <w:jc w:val="center"/>
            </w:pPr>
            <w:r>
              <w:t>NB-LTE</w:t>
            </w:r>
          </w:p>
        </w:tc>
        <w:tc>
          <w:tcPr>
            <w:tcW w:w="2443" w:type="dxa"/>
          </w:tcPr>
          <w:p w14:paraId="2F7CCA9A" w14:textId="38F3B58F" w:rsidR="00DA6384" w:rsidRDefault="003E6CBA" w:rsidP="00D77539">
            <w:pPr>
              <w:spacing w:before="120"/>
              <w:jc w:val="center"/>
            </w:pPr>
            <w:r>
              <w:t>NB-</w:t>
            </w:r>
            <w:proofErr w:type="spellStart"/>
            <w:r>
              <w:t>CIoT</w:t>
            </w:r>
            <w:proofErr w:type="spellEnd"/>
          </w:p>
        </w:tc>
      </w:tr>
      <w:tr w:rsidR="003E6CBA" w14:paraId="405AF10E" w14:textId="77777777" w:rsidTr="00D77539">
        <w:tc>
          <w:tcPr>
            <w:tcW w:w="2442" w:type="dxa"/>
          </w:tcPr>
          <w:p w14:paraId="75304143" w14:textId="57BA1C0C" w:rsidR="003E6CBA" w:rsidRDefault="003E6CBA" w:rsidP="00D77539">
            <w:pPr>
              <w:spacing w:before="120"/>
              <w:jc w:val="center"/>
            </w:pPr>
            <w:r>
              <w:t>1.49</w:t>
            </w:r>
          </w:p>
        </w:tc>
        <w:tc>
          <w:tcPr>
            <w:tcW w:w="2443" w:type="dxa"/>
          </w:tcPr>
          <w:p w14:paraId="57449FF9" w14:textId="19D2D4C0" w:rsidR="003E6CBA" w:rsidRDefault="003E6CBA" w:rsidP="00D77539">
            <w:pPr>
              <w:spacing w:before="120"/>
              <w:jc w:val="center"/>
            </w:pPr>
            <w:r>
              <w:t>0.38</w:t>
            </w:r>
          </w:p>
        </w:tc>
      </w:tr>
    </w:tbl>
    <w:p w14:paraId="4B11AC9E" w14:textId="77777777" w:rsidR="003E6CBA" w:rsidRDefault="003E6CBA" w:rsidP="00EA1675">
      <w:pPr>
        <w:spacing w:before="120"/>
      </w:pPr>
    </w:p>
    <w:p w14:paraId="0C2B7F03" w14:textId="35EB073F" w:rsidR="00F90028" w:rsidRDefault="00C300BF" w:rsidP="00EA1675">
      <w:pPr>
        <w:spacing w:before="120"/>
      </w:pPr>
      <w:r>
        <w:t xml:space="preserve">Thus, based on the same frequency reuse factor, NB-LTE has much higher maximum spectral efficiency than NB </w:t>
      </w:r>
      <w:proofErr w:type="spellStart"/>
      <w:r>
        <w:t>CIoT</w:t>
      </w:r>
      <w:proofErr w:type="spellEnd"/>
      <w:r>
        <w:t xml:space="preserve">. Since there are many UEs in the system that have high a </w:t>
      </w:r>
      <w:proofErr w:type="gramStart"/>
      <w:r>
        <w:t>SINR,</w:t>
      </w:r>
      <w:proofErr w:type="gramEnd"/>
      <w:r>
        <w:t xml:space="preserve"> and these UEs benefit from a much spectrally efficient design.</w:t>
      </w:r>
    </w:p>
    <w:p w14:paraId="5159ECCB" w14:textId="6CCB0CF4" w:rsidR="003F76F6" w:rsidRDefault="00C300BF" w:rsidP="00EA1675">
      <w:pPr>
        <w:spacing w:before="120"/>
      </w:pPr>
      <w:r>
        <w:t xml:space="preserve">In </w:t>
      </w:r>
      <w:r>
        <w:fldChar w:fldCharType="begin"/>
      </w:r>
      <w:r>
        <w:instrText xml:space="preserve"> REF _Ref429234139 \h </w:instrText>
      </w:r>
      <w:r>
        <w:fldChar w:fldCharType="separate"/>
      </w:r>
      <w:r w:rsidR="005308B2">
        <w:t xml:space="preserve">Figure </w:t>
      </w:r>
      <w:r w:rsidR="005308B2">
        <w:rPr>
          <w:noProof/>
        </w:rPr>
        <w:t>4</w:t>
      </w:r>
      <w:r>
        <w:fldChar w:fldCharType="end"/>
      </w:r>
      <w:r>
        <w:t xml:space="preserve">, it can further </w:t>
      </w:r>
      <w:r w:rsidR="00191C6B">
        <w:t xml:space="preserve">be </w:t>
      </w:r>
      <w:r>
        <w:t xml:space="preserve">seen that </w:t>
      </w:r>
      <w:r w:rsidR="00357D7F">
        <w:t>with reuse 1</w:t>
      </w:r>
      <w:r w:rsidR="00191C6B">
        <w:t>, NB-LTE uplink</w:t>
      </w:r>
      <w:r w:rsidR="00357D7F">
        <w:t xml:space="preserve"> capacity deviates</w:t>
      </w:r>
      <w:bookmarkStart w:id="4" w:name="_GoBack"/>
      <w:bookmarkEnd w:id="4"/>
      <w:r w:rsidR="00357D7F">
        <w:t xml:space="preserve"> from the linear slope at 200,000 devices per cell</w:t>
      </w:r>
      <w:r>
        <w:t xml:space="preserve">, which is close to 4 times NB </w:t>
      </w:r>
      <w:proofErr w:type="spellStart"/>
      <w:r>
        <w:t>CIoT</w:t>
      </w:r>
      <w:proofErr w:type="spellEnd"/>
      <w:r>
        <w:t xml:space="preserve"> uplink capacity</w:t>
      </w:r>
      <w:r w:rsidR="00357D7F">
        <w:t xml:space="preserve">. </w:t>
      </w:r>
    </w:p>
    <w:p w14:paraId="670C0669" w14:textId="44BCCD4C" w:rsidR="00EA1675" w:rsidRPr="006F3EE5" w:rsidRDefault="00EA1675" w:rsidP="00EA1675">
      <w:pPr>
        <w:spacing w:before="120"/>
      </w:pPr>
      <w:r w:rsidRPr="00F44D49">
        <w:rPr>
          <w:rFonts w:hint="eastAsia"/>
        </w:rPr>
        <w:t>The corresponding uplink MAR failure probability</w:t>
      </w:r>
      <w:r w:rsidR="00191C6B">
        <w:t xml:space="preserve"> for NB-LTE</w:t>
      </w:r>
      <w:r w:rsidRPr="00F44D49">
        <w:rPr>
          <w:rFonts w:hint="eastAsia"/>
        </w:rPr>
        <w:t xml:space="preserve"> </w:t>
      </w:r>
      <w:r w:rsidR="00594C0E">
        <w:rPr>
          <w:rFonts w:hint="eastAsia"/>
        </w:rPr>
        <w:t xml:space="preserve">is shown </w:t>
      </w:r>
      <w:r w:rsidR="002257C9">
        <w:rPr>
          <w:rFonts w:hint="eastAsia"/>
        </w:rPr>
        <w:t xml:space="preserve">in </w:t>
      </w:r>
      <w:r w:rsidR="00594C0E">
        <w:fldChar w:fldCharType="begin"/>
      </w:r>
      <w:r w:rsidR="00594C0E">
        <w:instrText xml:space="preserve"> </w:instrText>
      </w:r>
      <w:r w:rsidR="00594C0E">
        <w:rPr>
          <w:rFonts w:hint="eastAsia"/>
        </w:rPr>
        <w:instrText>REF _Ref429234156 \h</w:instrText>
      </w:r>
      <w:r w:rsidR="00594C0E">
        <w:instrText xml:space="preserve"> </w:instrText>
      </w:r>
      <w:r w:rsidR="00594C0E">
        <w:fldChar w:fldCharType="separate"/>
      </w:r>
      <w:r w:rsidR="005308B2">
        <w:t xml:space="preserve">Figure </w:t>
      </w:r>
      <w:r w:rsidR="005308B2">
        <w:rPr>
          <w:noProof/>
        </w:rPr>
        <w:t>6</w:t>
      </w:r>
      <w:r w:rsidR="00594C0E">
        <w:fldChar w:fldCharType="end"/>
      </w:r>
      <w:r w:rsidRPr="00F44D49">
        <w:rPr>
          <w:rFonts w:hint="eastAsia"/>
        </w:rPr>
        <w:t>.</w:t>
      </w:r>
      <w:r w:rsidR="00594C0E">
        <w:t xml:space="preserve"> We define a MAR failure as a report delivered with total latency more than 30 seconds. It can be seen that at the target capacity level, MAR delivery failure probability is 0. </w:t>
      </w:r>
    </w:p>
    <w:p w14:paraId="535EE3C1" w14:textId="67630B2F" w:rsidR="00EA1675" w:rsidRDefault="00EA1675" w:rsidP="00EA1675">
      <w:pPr>
        <w:spacing w:before="120"/>
      </w:pPr>
    </w:p>
    <w:p w14:paraId="7A543562" w14:textId="77777777" w:rsidR="00EA1675" w:rsidRDefault="00EA1675" w:rsidP="00EA1675">
      <w:pPr>
        <w:ind w:left="360"/>
        <w:jc w:val="center"/>
        <w:rPr>
          <w:sz w:val="21"/>
          <w:szCs w:val="21"/>
        </w:rPr>
      </w:pPr>
    </w:p>
    <w:p w14:paraId="20E18217" w14:textId="7F316742" w:rsidR="002257C9" w:rsidRDefault="00037632" w:rsidP="002257C9">
      <w:pPr>
        <w:ind w:left="360"/>
        <w:jc w:val="center"/>
      </w:pPr>
      <w:bookmarkStart w:id="5" w:name="_Ref412710916"/>
      <w:r w:rsidRPr="00037632">
        <w:rPr>
          <w:noProof/>
          <w:lang w:val="en-US" w:eastAsia="zh-TW"/>
        </w:rPr>
        <w:lastRenderedPageBreak/>
        <w:drawing>
          <wp:inline distT="0" distB="0" distL="0" distR="0" wp14:anchorId="47632DFC" wp14:editId="08959446">
            <wp:extent cx="4177170" cy="3256277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82964" cy="326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CC592" w14:textId="612FD359" w:rsidR="00EA1675" w:rsidRDefault="002257C9" w:rsidP="002257C9">
      <w:pPr>
        <w:pStyle w:val="Caption"/>
      </w:pPr>
      <w:bookmarkStart w:id="6" w:name="_Ref429234139"/>
      <w:bookmarkEnd w:id="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4</w:t>
      </w:r>
      <w:r>
        <w:fldChar w:fldCharType="end"/>
      </w:r>
      <w:bookmarkEnd w:id="6"/>
      <w:r>
        <w:t xml:space="preserve">: </w:t>
      </w:r>
      <w:r w:rsidR="003F76F6">
        <w:t>NB-LTE uplink c</w:t>
      </w:r>
      <w:r w:rsidRPr="00315C48">
        <w:rPr>
          <w:rFonts w:hint="eastAsia"/>
        </w:rPr>
        <w:t>apacity (in #reports/200 kHz/hour)</w:t>
      </w:r>
      <w:r>
        <w:t xml:space="preserve">, based on scenario 2 with 0.75 BPL </w:t>
      </w:r>
      <w:proofErr w:type="gramStart"/>
      <w:r>
        <w:t>correlation</w:t>
      </w:r>
      <w:proofErr w:type="gramEnd"/>
      <w:r>
        <w:t>.</w:t>
      </w:r>
    </w:p>
    <w:p w14:paraId="02CBDA8C" w14:textId="77777777" w:rsidR="003F76F6" w:rsidRDefault="003F76F6" w:rsidP="003F76F6"/>
    <w:p w14:paraId="618BDED6" w14:textId="03A1F323" w:rsidR="003F76F6" w:rsidRDefault="003F76F6" w:rsidP="003F76F6">
      <w:pPr>
        <w:jc w:val="center"/>
      </w:pPr>
      <w:r w:rsidRPr="003F76F6">
        <w:rPr>
          <w:noProof/>
          <w:lang w:val="en-US" w:eastAsia="zh-TW"/>
        </w:rPr>
        <w:drawing>
          <wp:inline distT="0" distB="0" distL="0" distR="0" wp14:anchorId="351304AE" wp14:editId="3A5901AC">
            <wp:extent cx="3578225" cy="25920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2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33930" w14:textId="25CDA851" w:rsidR="003F76F6" w:rsidRDefault="003F76F6" w:rsidP="003F76F6">
      <w:pPr>
        <w:pStyle w:val="Caption"/>
      </w:pPr>
      <w:bookmarkStart w:id="7" w:name="_Ref4312117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5</w:t>
      </w:r>
      <w:r>
        <w:fldChar w:fldCharType="end"/>
      </w:r>
      <w:bookmarkEnd w:id="7"/>
      <w:r>
        <w:t xml:space="preserve">: NB </w:t>
      </w:r>
      <w:proofErr w:type="spellStart"/>
      <w:r>
        <w:t>CIoT</w:t>
      </w:r>
      <w:proofErr w:type="spellEnd"/>
      <w:r>
        <w:t xml:space="preserve"> uplink c</w:t>
      </w:r>
      <w:r w:rsidRPr="00315C48">
        <w:rPr>
          <w:rFonts w:hint="eastAsia"/>
        </w:rPr>
        <w:t>apacity (in #reports/200 kHz/hour)</w:t>
      </w:r>
      <w:r>
        <w:t xml:space="preserve"> (note that “case 8” corresponds to scenario 2 with 0.75 BPL correlation.</w:t>
      </w:r>
      <w:r w:rsidR="00191C6B">
        <w:t xml:space="preserve"> (</w:t>
      </w:r>
      <w:proofErr w:type="gramStart"/>
      <w:r w:rsidR="00191C6B">
        <w:t>results</w:t>
      </w:r>
      <w:proofErr w:type="gramEnd"/>
      <w:r w:rsidR="00191C6B">
        <w:t xml:space="preserve"> taken from </w:t>
      </w:r>
      <w:proofErr w:type="spellStart"/>
      <w:r w:rsidR="00191C6B">
        <w:t>subclause</w:t>
      </w:r>
      <w:proofErr w:type="spellEnd"/>
      <w:r w:rsidR="00191C6B">
        <w:t xml:space="preserve"> 7.3.6.2.1.5 of [3])</w:t>
      </w:r>
    </w:p>
    <w:p w14:paraId="5AF0FA25" w14:textId="1A9D7F8E" w:rsidR="003F76F6" w:rsidRPr="003F76F6" w:rsidRDefault="003F76F6" w:rsidP="003F76F6">
      <w:pPr>
        <w:pStyle w:val="Caption"/>
      </w:pPr>
    </w:p>
    <w:p w14:paraId="5573D272" w14:textId="77777777" w:rsidR="00EA1675" w:rsidRDefault="00EA1675" w:rsidP="00EA1675">
      <w:pPr>
        <w:pStyle w:val="TH"/>
        <w:rPr>
          <w:lang w:eastAsia="zh-CN"/>
        </w:rPr>
      </w:pPr>
    </w:p>
    <w:p w14:paraId="697447C1" w14:textId="6A1081B2" w:rsidR="00EA1675" w:rsidRDefault="00037632" w:rsidP="00EA1675">
      <w:pPr>
        <w:pStyle w:val="TH"/>
        <w:rPr>
          <w:lang w:eastAsia="zh-CN"/>
        </w:rPr>
      </w:pPr>
      <w:r w:rsidRPr="00037632">
        <w:rPr>
          <w:rStyle w:val="CommentReference"/>
          <w:noProof/>
          <w:sz w:val="20"/>
          <w:szCs w:val="20"/>
          <w:lang w:val="en-US" w:eastAsia="zh-TW"/>
        </w:rPr>
        <w:drawing>
          <wp:inline distT="0" distB="0" distL="0" distR="0" wp14:anchorId="68EB535F" wp14:editId="469E6B3B">
            <wp:extent cx="4379316" cy="3413858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2106" cy="341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57C9" w:rsidRPr="002257C9">
        <w:rPr>
          <w:rStyle w:val="CommentReference"/>
          <w:sz w:val="20"/>
          <w:szCs w:val="20"/>
        </w:rPr>
        <w:t xml:space="preserve"> </w:t>
      </w:r>
    </w:p>
    <w:p w14:paraId="2CF1AF86" w14:textId="314C08F3" w:rsidR="00EA1675" w:rsidRDefault="00594C0E" w:rsidP="00594C0E">
      <w:pPr>
        <w:pStyle w:val="Caption"/>
      </w:pPr>
      <w:bookmarkStart w:id="8" w:name="_Ref4292341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6</w:t>
      </w:r>
      <w:r>
        <w:fldChar w:fldCharType="end"/>
      </w:r>
      <w:bookmarkEnd w:id="8"/>
      <w:r>
        <w:t xml:space="preserve">: </w:t>
      </w:r>
      <w:r>
        <w:rPr>
          <w:rFonts w:hint="eastAsia"/>
        </w:rPr>
        <w:t xml:space="preserve">UL MAR </w:t>
      </w:r>
      <w:r>
        <w:t>f</w:t>
      </w:r>
      <w:r>
        <w:rPr>
          <w:rFonts w:hint="eastAsia"/>
        </w:rPr>
        <w:t xml:space="preserve">ailure </w:t>
      </w:r>
      <w:r>
        <w:t>p</w:t>
      </w:r>
      <w:r w:rsidRPr="00F44D49">
        <w:rPr>
          <w:rFonts w:hint="eastAsia"/>
        </w:rPr>
        <w:t>robability</w:t>
      </w:r>
      <w:r>
        <w:t xml:space="preserve">, based on scenario 2 with 0.75 BPL </w:t>
      </w:r>
      <w:proofErr w:type="gramStart"/>
      <w:r>
        <w:t>correlation</w:t>
      </w:r>
      <w:proofErr w:type="gramEnd"/>
      <w:r>
        <w:t>. (</w:t>
      </w:r>
      <w:r w:rsidR="001C7E6B">
        <w:t xml:space="preserve">Failure </w:t>
      </w:r>
      <w:r>
        <w:t>event defined as delivery time exceeding 30 seconds).</w:t>
      </w:r>
    </w:p>
    <w:p w14:paraId="1187BF66" w14:textId="2C2423F6" w:rsidR="00594C0E" w:rsidRDefault="003F76F6" w:rsidP="00594C0E">
      <w:r>
        <w:t xml:space="preserve">Downlink capacity is shown in </w:t>
      </w:r>
      <w:r>
        <w:fldChar w:fldCharType="begin"/>
      </w:r>
      <w:r>
        <w:instrText xml:space="preserve"> REF _Ref431211406 \h </w:instrText>
      </w:r>
      <w:r>
        <w:fldChar w:fldCharType="separate"/>
      </w:r>
      <w:r w:rsidR="005308B2">
        <w:t xml:space="preserve">Figure </w:t>
      </w:r>
      <w:r w:rsidR="005308B2">
        <w:rPr>
          <w:noProof/>
        </w:rPr>
        <w:t>7</w:t>
      </w:r>
      <w:r>
        <w:fldChar w:fldCharType="end"/>
      </w:r>
      <w:r>
        <w:t>. It can be seen that the capacity target of 52500 devices per cell can be easily met. For DL, the difference between reuse 1 and reuse 3 is less evident as the main limitation is total available power at the base station.</w:t>
      </w:r>
    </w:p>
    <w:p w14:paraId="7F7594FD" w14:textId="164C6D79" w:rsidR="003F76F6" w:rsidRDefault="00037632" w:rsidP="003F76F6">
      <w:pPr>
        <w:jc w:val="center"/>
      </w:pPr>
      <w:r w:rsidRPr="00037632">
        <w:rPr>
          <w:noProof/>
          <w:lang w:val="en-US" w:eastAsia="zh-TW"/>
        </w:rPr>
        <w:drawing>
          <wp:inline distT="0" distB="0" distL="0" distR="0" wp14:anchorId="7E1D459B" wp14:editId="044BAC8F">
            <wp:extent cx="4357315" cy="3396707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65704" cy="340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CB409" w14:textId="1CF392B1" w:rsidR="003F76F6" w:rsidRDefault="003F76F6" w:rsidP="003B683D">
      <w:pPr>
        <w:pStyle w:val="Caption"/>
      </w:pPr>
      <w:bookmarkStart w:id="9" w:name="_Ref4312114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7</w:t>
      </w:r>
      <w:r>
        <w:fldChar w:fldCharType="end"/>
      </w:r>
      <w:bookmarkEnd w:id="9"/>
      <w:r>
        <w:t>: Downlink c</w:t>
      </w:r>
      <w:r w:rsidRPr="00315C48">
        <w:rPr>
          <w:rFonts w:hint="eastAsia"/>
        </w:rPr>
        <w:t>apacity (in #reports/200 kHz/hour)</w:t>
      </w:r>
      <w:r>
        <w:t xml:space="preserve">, based on scenario 2 with 0.75 BPL </w:t>
      </w:r>
      <w:proofErr w:type="gramStart"/>
      <w:r>
        <w:t>correlation</w:t>
      </w:r>
      <w:proofErr w:type="gramEnd"/>
      <w:r>
        <w:t>.</w:t>
      </w:r>
    </w:p>
    <w:p w14:paraId="32B50E5F" w14:textId="7251E2D0" w:rsidR="00F355C1" w:rsidRDefault="00594C0E" w:rsidP="00424659">
      <w:r>
        <w:t xml:space="preserve">The performance for UEs </w:t>
      </w:r>
      <w:r w:rsidR="002250F8">
        <w:t>at</w:t>
      </w:r>
      <w:r>
        <w:t xml:space="preserve"> very bad coverage locations are examined in more details in </w:t>
      </w:r>
      <w:r w:rsidR="002250F8">
        <w:fldChar w:fldCharType="begin"/>
      </w:r>
      <w:r w:rsidR="002250F8">
        <w:instrText xml:space="preserve"> REF _Ref429235063 \h </w:instrText>
      </w:r>
      <w:r w:rsidR="002250F8">
        <w:fldChar w:fldCharType="separate"/>
      </w:r>
      <w:r w:rsidR="005308B2">
        <w:t xml:space="preserve">Figure </w:t>
      </w:r>
      <w:r w:rsidR="005308B2">
        <w:rPr>
          <w:noProof/>
        </w:rPr>
        <w:t>8</w:t>
      </w:r>
      <w:r w:rsidR="002250F8">
        <w:fldChar w:fldCharType="end"/>
      </w:r>
      <w:r w:rsidR="002250F8">
        <w:t>. The performance is evaluated at the target system capacity, i.e. 52</w:t>
      </w:r>
      <w:r w:rsidR="00424659">
        <w:t>,</w:t>
      </w:r>
      <w:r w:rsidR="002250F8">
        <w:t xml:space="preserve">500 devices per sector. It can be seen that </w:t>
      </w:r>
      <w:r w:rsidR="00566ADA">
        <w:lastRenderedPageBreak/>
        <w:t>the perform</w:t>
      </w:r>
      <w:r w:rsidR="002250F8">
        <w:t xml:space="preserve">ance experienced by UEs with </w:t>
      </w:r>
      <w:r w:rsidR="00566ADA">
        <w:t>coupling loss</w:t>
      </w:r>
      <w:r w:rsidR="002250F8">
        <w:t xml:space="preserve"> higher than 152 dB</w:t>
      </w:r>
      <w:r w:rsidR="00397CDF">
        <w:t xml:space="preserve"> </w:t>
      </w:r>
      <w:r w:rsidR="00F355C1">
        <w:t>do</w:t>
      </w:r>
      <w:r w:rsidR="005308B2">
        <w:t>es</w:t>
      </w:r>
      <w:r w:rsidR="00F355C1">
        <w:t xml:space="preserve"> not degrade relative to frequency reuse 3. UE data rate depends on the queueing delay when the UE is waiting to be scheduled, and </w:t>
      </w:r>
      <w:r w:rsidR="005308B2">
        <w:t xml:space="preserve">also </w:t>
      </w:r>
      <w:r w:rsidR="00F355C1">
        <w:t>the actual transmission time when the UE is scheduled. Comparing frequency reuse 1 and 3, frequency reuse 1 has lower queueing delay, due to more available radio resources per cell, and higher actual transmission time, due to higher inter-cell interference. For UEs in coverage limited condition, these two factors roughly offset each other, resulting in approximately the same performance</w:t>
      </w:r>
      <w:r w:rsidR="005308B2">
        <w:t xml:space="preserve"> between frequency reuse 1 and 3</w:t>
      </w:r>
      <w:r w:rsidR="00F355C1">
        <w:t>.</w:t>
      </w:r>
    </w:p>
    <w:p w14:paraId="32698BDB" w14:textId="0D106C57" w:rsidR="002250F8" w:rsidRDefault="0055297A" w:rsidP="002250F8">
      <w:pPr>
        <w:jc w:val="center"/>
      </w:pPr>
      <w:r>
        <w:rPr>
          <w:noProof/>
          <w:lang w:val="en-US" w:eastAsia="zh-TW"/>
        </w:rPr>
        <w:drawing>
          <wp:inline distT="0" distB="0" distL="0" distR="0" wp14:anchorId="21CBD16A" wp14:editId="552B74EC">
            <wp:extent cx="4190338" cy="3227042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310" cy="322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A7B49F" w14:textId="3E355C95" w:rsidR="002250F8" w:rsidRDefault="002250F8" w:rsidP="002250F8">
      <w:pPr>
        <w:pStyle w:val="Caption"/>
      </w:pPr>
      <w:bookmarkStart w:id="10" w:name="_Ref429235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8B2">
        <w:rPr>
          <w:noProof/>
        </w:rPr>
        <w:t>8</w:t>
      </w:r>
      <w:r>
        <w:fldChar w:fldCharType="end"/>
      </w:r>
      <w:bookmarkEnd w:id="10"/>
      <w:r>
        <w:t xml:space="preserve">: Performance of UEs at coverage limited locations (very low system gain). Performance is evaluated at the target system load </w:t>
      </w:r>
      <w:r w:rsidR="0074490A">
        <w:t xml:space="preserve">of </w:t>
      </w:r>
      <w:r>
        <w:t>52500 devices per sector.</w:t>
      </w:r>
    </w:p>
    <w:p w14:paraId="44D8A95A" w14:textId="46E5CD84" w:rsidR="00303D81" w:rsidRPr="00303D81" w:rsidRDefault="00303D81" w:rsidP="00424659">
      <w:r>
        <w:t xml:space="preserve"> </w:t>
      </w:r>
    </w:p>
    <w:p w14:paraId="577D2741" w14:textId="46D839C0" w:rsidR="0005434F" w:rsidRPr="00763114" w:rsidRDefault="00683F57" w:rsidP="0005434F">
      <w:pPr>
        <w:pStyle w:val="Heading1"/>
      </w:pPr>
      <w:r w:rsidRPr="00763114">
        <w:t>Conclusions</w:t>
      </w:r>
    </w:p>
    <w:p w14:paraId="7DBA4FFD" w14:textId="529B773F" w:rsidR="00E923A6" w:rsidRDefault="00397CDF">
      <w:pPr>
        <w:pStyle w:val="BodyText"/>
      </w:pPr>
      <w:r>
        <w:t xml:space="preserve">In this contribution, the capacity of </w:t>
      </w:r>
      <w:r w:rsidR="00EA1675">
        <w:t xml:space="preserve">NB-LTE </w:t>
      </w:r>
      <w:r>
        <w:t xml:space="preserve">is </w:t>
      </w:r>
      <w:r w:rsidR="0074490A">
        <w:t>analysed</w:t>
      </w:r>
      <w:r>
        <w:t xml:space="preserve"> through system-level simulations. It can be concluded that NB-LTE easily fulfils the GERAN SI capacity target of 52</w:t>
      </w:r>
      <w:r w:rsidR="00F355C1">
        <w:t>,</w:t>
      </w:r>
      <w:r>
        <w:t xml:space="preserve">500 devices per sector. It is also seen that frequency reuse-1 achieves much higher </w:t>
      </w:r>
      <w:r w:rsidR="00F355C1">
        <w:t xml:space="preserve">uplink </w:t>
      </w:r>
      <w:r>
        <w:t xml:space="preserve">capacity than frequency reuse 3 in a NB-LTE system. </w:t>
      </w:r>
      <w:r w:rsidR="00DF5909">
        <w:t>When frequency reuse 1 is employed, it is further confirmed that UEs at coverage limited locations do not have degraded performance compared to frequency reuse 3.</w:t>
      </w:r>
    </w:p>
    <w:p w14:paraId="328CAF57" w14:textId="19F9F476" w:rsidR="00ED1710" w:rsidRDefault="00E923A6">
      <w:pPr>
        <w:pStyle w:val="BodyText"/>
      </w:pPr>
      <w:r>
        <w:t xml:space="preserve">The NB-LTE uplink design is based on OFDMA, which allows tight packing of subcarriers in the uplink, which results in very efficient use of the available spectrum. Compared to NB </w:t>
      </w:r>
      <w:proofErr w:type="spellStart"/>
      <w:r>
        <w:t>CIoT</w:t>
      </w:r>
      <w:proofErr w:type="spellEnd"/>
      <w:r>
        <w:t xml:space="preserve">, NB-LTE has a </w:t>
      </w:r>
      <w:r w:rsidR="00DF5909">
        <w:t>significantly</w:t>
      </w:r>
      <w:r>
        <w:t xml:space="preserve"> higher maximum uplink spectral efficiency, and </w:t>
      </w:r>
      <w:r w:rsidR="00F355C1">
        <w:t xml:space="preserve">NB-LTE with frequency reuse 1 or 3 outperforms NB </w:t>
      </w:r>
      <w:proofErr w:type="spellStart"/>
      <w:r w:rsidR="00F355C1">
        <w:t>CIoT</w:t>
      </w:r>
      <w:proofErr w:type="spellEnd"/>
      <w:r w:rsidR="00F355C1">
        <w:t xml:space="preserve"> in system capacity very substantially</w:t>
      </w:r>
      <w:r w:rsidR="00DF5909">
        <w:t>.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bookmarkStart w:id="11" w:name="_Ref397674406"/>
    <w:bookmarkStart w:id="12" w:name="_Ref403069021"/>
    <w:bookmarkStart w:id="13" w:name="_Ref384735847"/>
    <w:p w14:paraId="577D2744" w14:textId="77777777" w:rsidR="00CA53DD" w:rsidRDefault="00CA53DD" w:rsidP="001B5230">
      <w:pPr>
        <w:pStyle w:val="Reference"/>
      </w:pPr>
      <w:r w:rsidRPr="008F0DB6">
        <w:fldChar w:fldCharType="begin"/>
      </w:r>
      <w:r w:rsidRPr="00763114">
        <w:instrText xml:space="preserve"> HYPERLINK "ftp://www.3gpp.org/tsg_geran/TSG_GERAN/GERAN_62_Valencia/Docs/GP-140421.zip" </w:instrText>
      </w:r>
      <w:r w:rsidRPr="008F0DB6">
        <w:fldChar w:fldCharType="separate"/>
      </w:r>
      <w:r w:rsidRPr="00763114">
        <w:rPr>
          <w:rStyle w:val="Hyperlink"/>
        </w:rPr>
        <w:t>GP-140421</w:t>
      </w:r>
      <w:r w:rsidRPr="008F0DB6">
        <w:fldChar w:fldCharType="end"/>
      </w:r>
      <w:r w:rsidRPr="00763114">
        <w:t>, “New Study Item on Cellular System Support for Ultra Low Complexity and Low Throughput Internet of Things (</w:t>
      </w:r>
      <w:proofErr w:type="spellStart"/>
      <w:r w:rsidRPr="00763114">
        <w:t>FS_IoT_LC</w:t>
      </w:r>
      <w:proofErr w:type="spellEnd"/>
      <w:r w:rsidRPr="00763114">
        <w:t>) (revision of GP-140418)”, source VODAFONE Group Plc. GERAN#62</w:t>
      </w:r>
      <w:bookmarkEnd w:id="11"/>
      <w:r w:rsidRPr="00763114">
        <w:t>.</w:t>
      </w:r>
      <w:bookmarkEnd w:id="12"/>
    </w:p>
    <w:p w14:paraId="4F613CB2" w14:textId="037E2CB8" w:rsidR="00FD2A11" w:rsidRPr="00FD2A11" w:rsidRDefault="00FD2A11" w:rsidP="00FD2A11">
      <w:pPr>
        <w:pStyle w:val="Reference"/>
      </w:pPr>
      <w:r>
        <w:t>R1-156010</w:t>
      </w:r>
      <w:r w:rsidRPr="00FD2A11">
        <w:t>, “NB-LTE – General L1 Concept Description,” Ericsson, Oct. 2015, Malmo, Sweden.</w:t>
      </w:r>
    </w:p>
    <w:p w14:paraId="7EA04640" w14:textId="629E37FF" w:rsidR="004A7311" w:rsidRPr="004A7311" w:rsidRDefault="004A7311" w:rsidP="004A7311">
      <w:pPr>
        <w:pStyle w:val="Reference"/>
      </w:pPr>
      <w:r w:rsidRPr="004A7311">
        <w:t xml:space="preserve">3GPP TR 45.820, “Technical Specification Group GSM/EDGE Radio Access Network; Cellular System Support for Ultra Low Complexity and Low Throughput Internet of Things,” </w:t>
      </w:r>
      <w:r>
        <w:t>Aug. 2015, v.2.0</w:t>
      </w:r>
      <w:r w:rsidRPr="004A7311">
        <w:t>.0.</w:t>
      </w:r>
    </w:p>
    <w:bookmarkEnd w:id="13"/>
    <w:p w14:paraId="6B8793E2" w14:textId="3AF710BF" w:rsidR="007058B7" w:rsidRPr="00763114" w:rsidRDefault="002B75A7" w:rsidP="007941E8">
      <w:pPr>
        <w:pStyle w:val="Reference"/>
      </w:pPr>
      <w:r w:rsidRPr="0027017A">
        <w:t>GP-15</w:t>
      </w:r>
      <w:r>
        <w:t>0782</w:t>
      </w:r>
      <w:proofErr w:type="gramStart"/>
      <w:r>
        <w:t>;</w:t>
      </w:r>
      <w:r w:rsidRPr="0027017A">
        <w:t xml:space="preserve"> ”</w:t>
      </w:r>
      <w:proofErr w:type="gramEnd"/>
      <w:r>
        <w:t>Narrowband LTE –</w:t>
      </w:r>
      <w:r w:rsidRPr="005C41E2">
        <w:t xml:space="preserve"> PDSCH and PUSCH design and performance</w:t>
      </w:r>
      <w:r w:rsidRPr="0027017A">
        <w:t xml:space="preserve">,” </w:t>
      </w:r>
      <w:r>
        <w:t>Ericsson LM, Nokia Networks;</w:t>
      </w:r>
      <w:r w:rsidRPr="0027017A">
        <w:t xml:space="preserve"> GERAN#67</w:t>
      </w:r>
      <w:r w:rsidRPr="00E45C95">
        <w:t>; August 10</w:t>
      </w:r>
      <w:r w:rsidRPr="00C90836">
        <w:rPr>
          <w:vertAlign w:val="superscript"/>
        </w:rPr>
        <w:t>th</w:t>
      </w:r>
      <w:r w:rsidRPr="00E45C95">
        <w:t xml:space="preserve"> to 13</w:t>
      </w:r>
      <w:r w:rsidRPr="00C90836">
        <w:rPr>
          <w:vertAlign w:val="superscript"/>
        </w:rPr>
        <w:t>th</w:t>
      </w:r>
      <w:r w:rsidRPr="00E45C95">
        <w:t xml:space="preserve">, 2015; Yin </w:t>
      </w:r>
      <w:proofErr w:type="spellStart"/>
      <w:r w:rsidRPr="00E45C95">
        <w:t>Chuan</w:t>
      </w:r>
      <w:proofErr w:type="spellEnd"/>
      <w:r w:rsidRPr="00E45C95">
        <w:t>, China</w:t>
      </w:r>
      <w:r>
        <w:t>.</w:t>
      </w:r>
    </w:p>
    <w:sectPr w:rsidR="007058B7" w:rsidRPr="00763114" w:rsidSect="003B5666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CEDF8" w14:textId="77777777" w:rsidR="00FB091B" w:rsidRDefault="00FB091B">
      <w:pPr>
        <w:spacing w:after="0"/>
      </w:pPr>
      <w:r>
        <w:separator/>
      </w:r>
    </w:p>
  </w:endnote>
  <w:endnote w:type="continuationSeparator" w:id="0">
    <w:p w14:paraId="29D05A82" w14:textId="77777777" w:rsidR="00FB091B" w:rsidRDefault="00FB0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61919" w:rsidRDefault="00061919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3CC6">
      <w:rPr>
        <w:rStyle w:val="PageNumber"/>
      </w:rPr>
      <w:t>7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3CC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61919" w:rsidRDefault="00061919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13CC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13CC6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62065" w14:textId="77777777" w:rsidR="00FB091B" w:rsidRDefault="00FB091B">
      <w:pPr>
        <w:spacing w:after="0"/>
      </w:pPr>
      <w:r>
        <w:separator/>
      </w:r>
    </w:p>
  </w:footnote>
  <w:footnote w:type="continuationSeparator" w:id="0">
    <w:p w14:paraId="0992CE9A" w14:textId="77777777" w:rsidR="00FB091B" w:rsidRDefault="00FB09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61919" w:rsidRPr="006A0FC7" w:rsidRDefault="00061919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61919" w:rsidRPr="00BF30DA" w:rsidRDefault="00061919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E7436"/>
    <w:multiLevelType w:val="hybridMultilevel"/>
    <w:tmpl w:val="0812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0"/>
  </w:num>
  <w:num w:numId="4">
    <w:abstractNumId w:val="1"/>
  </w:num>
  <w:num w:numId="5">
    <w:abstractNumId w:val="24"/>
  </w:num>
  <w:num w:numId="6">
    <w:abstractNumId w:val="15"/>
  </w:num>
  <w:num w:numId="7">
    <w:abstractNumId w:val="7"/>
  </w:num>
  <w:num w:numId="8">
    <w:abstractNumId w:val="1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1"/>
  </w:num>
  <w:num w:numId="20">
    <w:abstractNumId w:val="4"/>
  </w:num>
  <w:num w:numId="21">
    <w:abstractNumId w:val="16"/>
  </w:num>
  <w:num w:numId="22">
    <w:abstractNumId w:val="3"/>
  </w:num>
  <w:num w:numId="23">
    <w:abstractNumId w:val="22"/>
  </w:num>
  <w:num w:numId="24">
    <w:abstractNumId w:val="2"/>
  </w:num>
  <w:num w:numId="25">
    <w:abstractNumId w:val="12"/>
  </w:num>
  <w:num w:numId="26">
    <w:abstractNumId w:val="14"/>
  </w:num>
  <w:num w:numId="27">
    <w:abstractNumId w:val="5"/>
  </w:num>
  <w:num w:numId="28">
    <w:abstractNumId w:val="0"/>
  </w:num>
  <w:num w:numId="29">
    <w:abstractNumId w:val="13"/>
  </w:num>
  <w:num w:numId="30">
    <w:abstractNumId w:val="20"/>
  </w:num>
  <w:num w:numId="31">
    <w:abstractNumId w:val="18"/>
  </w:num>
  <w:num w:numId="32">
    <w:abstractNumId w:val="25"/>
  </w:num>
  <w:num w:numId="33">
    <w:abstractNumId w:val="19"/>
  </w:num>
  <w:num w:numId="34">
    <w:abstractNumId w:val="2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10AEE"/>
    <w:rsid w:val="00013F4F"/>
    <w:rsid w:val="00017366"/>
    <w:rsid w:val="00021744"/>
    <w:rsid w:val="000237B9"/>
    <w:rsid w:val="0002572A"/>
    <w:rsid w:val="00027311"/>
    <w:rsid w:val="00027D60"/>
    <w:rsid w:val="00031103"/>
    <w:rsid w:val="00035879"/>
    <w:rsid w:val="00036AAB"/>
    <w:rsid w:val="00037632"/>
    <w:rsid w:val="00042044"/>
    <w:rsid w:val="00042A4F"/>
    <w:rsid w:val="0004621B"/>
    <w:rsid w:val="0005061C"/>
    <w:rsid w:val="000530D9"/>
    <w:rsid w:val="0005365D"/>
    <w:rsid w:val="0005434F"/>
    <w:rsid w:val="00055864"/>
    <w:rsid w:val="00055E6D"/>
    <w:rsid w:val="00057B28"/>
    <w:rsid w:val="00061919"/>
    <w:rsid w:val="00067182"/>
    <w:rsid w:val="0007045A"/>
    <w:rsid w:val="000721FC"/>
    <w:rsid w:val="00072382"/>
    <w:rsid w:val="000857F2"/>
    <w:rsid w:val="00087350"/>
    <w:rsid w:val="0008796B"/>
    <w:rsid w:val="00091A7F"/>
    <w:rsid w:val="00093C23"/>
    <w:rsid w:val="00093FC2"/>
    <w:rsid w:val="00096C16"/>
    <w:rsid w:val="000A207F"/>
    <w:rsid w:val="000A29C6"/>
    <w:rsid w:val="000A47FA"/>
    <w:rsid w:val="000A4FF9"/>
    <w:rsid w:val="000A6510"/>
    <w:rsid w:val="000B2C9C"/>
    <w:rsid w:val="000B31DD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E114A"/>
    <w:rsid w:val="000E2D68"/>
    <w:rsid w:val="000E2DED"/>
    <w:rsid w:val="000E3586"/>
    <w:rsid w:val="000E37DA"/>
    <w:rsid w:val="000E4E27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1D7"/>
    <w:rsid w:val="001015B9"/>
    <w:rsid w:val="00101845"/>
    <w:rsid w:val="001033FB"/>
    <w:rsid w:val="00104263"/>
    <w:rsid w:val="001117D9"/>
    <w:rsid w:val="00111F79"/>
    <w:rsid w:val="00114D8B"/>
    <w:rsid w:val="001203AA"/>
    <w:rsid w:val="00125368"/>
    <w:rsid w:val="001254C4"/>
    <w:rsid w:val="00130ED8"/>
    <w:rsid w:val="001311CC"/>
    <w:rsid w:val="001354B2"/>
    <w:rsid w:val="00140C24"/>
    <w:rsid w:val="00142231"/>
    <w:rsid w:val="00142630"/>
    <w:rsid w:val="00142768"/>
    <w:rsid w:val="00146EC4"/>
    <w:rsid w:val="00147E0D"/>
    <w:rsid w:val="00151C32"/>
    <w:rsid w:val="00152595"/>
    <w:rsid w:val="001547A1"/>
    <w:rsid w:val="0016019B"/>
    <w:rsid w:val="00160AA0"/>
    <w:rsid w:val="001636B7"/>
    <w:rsid w:val="00167432"/>
    <w:rsid w:val="0017094F"/>
    <w:rsid w:val="00172588"/>
    <w:rsid w:val="001726EA"/>
    <w:rsid w:val="0017281E"/>
    <w:rsid w:val="001738F4"/>
    <w:rsid w:val="00174411"/>
    <w:rsid w:val="00174542"/>
    <w:rsid w:val="00174768"/>
    <w:rsid w:val="00177929"/>
    <w:rsid w:val="0018252D"/>
    <w:rsid w:val="0018259F"/>
    <w:rsid w:val="00182960"/>
    <w:rsid w:val="00184BE0"/>
    <w:rsid w:val="001852C0"/>
    <w:rsid w:val="0018745C"/>
    <w:rsid w:val="00190C7B"/>
    <w:rsid w:val="00191B11"/>
    <w:rsid w:val="00191C6B"/>
    <w:rsid w:val="00194A90"/>
    <w:rsid w:val="00197679"/>
    <w:rsid w:val="001A0E97"/>
    <w:rsid w:val="001A3ADC"/>
    <w:rsid w:val="001B3005"/>
    <w:rsid w:val="001B5230"/>
    <w:rsid w:val="001B58B6"/>
    <w:rsid w:val="001C6000"/>
    <w:rsid w:val="001C7E6B"/>
    <w:rsid w:val="001D06AC"/>
    <w:rsid w:val="001D07A5"/>
    <w:rsid w:val="001E1C9C"/>
    <w:rsid w:val="001E213E"/>
    <w:rsid w:val="001E272E"/>
    <w:rsid w:val="001E582A"/>
    <w:rsid w:val="001E7AF7"/>
    <w:rsid w:val="001F0CE9"/>
    <w:rsid w:val="001F3714"/>
    <w:rsid w:val="001F39B2"/>
    <w:rsid w:val="001F6E69"/>
    <w:rsid w:val="002032D4"/>
    <w:rsid w:val="00206BFE"/>
    <w:rsid w:val="0021523D"/>
    <w:rsid w:val="00220E5C"/>
    <w:rsid w:val="00224F96"/>
    <w:rsid w:val="00225036"/>
    <w:rsid w:val="002250F8"/>
    <w:rsid w:val="002257C9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3976"/>
    <w:rsid w:val="00264921"/>
    <w:rsid w:val="00265439"/>
    <w:rsid w:val="0027285A"/>
    <w:rsid w:val="002778F3"/>
    <w:rsid w:val="00285772"/>
    <w:rsid w:val="00287364"/>
    <w:rsid w:val="00287D33"/>
    <w:rsid w:val="00291AA4"/>
    <w:rsid w:val="00292A88"/>
    <w:rsid w:val="002951FC"/>
    <w:rsid w:val="002A5DC6"/>
    <w:rsid w:val="002B07C7"/>
    <w:rsid w:val="002B11BE"/>
    <w:rsid w:val="002B368A"/>
    <w:rsid w:val="002B4986"/>
    <w:rsid w:val="002B5026"/>
    <w:rsid w:val="002B75A7"/>
    <w:rsid w:val="002C3811"/>
    <w:rsid w:val="002C39D5"/>
    <w:rsid w:val="002C6DB8"/>
    <w:rsid w:val="002D14F3"/>
    <w:rsid w:val="002D3252"/>
    <w:rsid w:val="002D43CF"/>
    <w:rsid w:val="002D4EAD"/>
    <w:rsid w:val="002D57F2"/>
    <w:rsid w:val="002D5B4C"/>
    <w:rsid w:val="002E499D"/>
    <w:rsid w:val="002E4B80"/>
    <w:rsid w:val="002F3FAE"/>
    <w:rsid w:val="002F4BED"/>
    <w:rsid w:val="002F6BC2"/>
    <w:rsid w:val="003013DF"/>
    <w:rsid w:val="00303D81"/>
    <w:rsid w:val="00312CFF"/>
    <w:rsid w:val="003140E8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79B0"/>
    <w:rsid w:val="003526DC"/>
    <w:rsid w:val="0035309F"/>
    <w:rsid w:val="00353DCF"/>
    <w:rsid w:val="00355DC7"/>
    <w:rsid w:val="003578EB"/>
    <w:rsid w:val="00357C52"/>
    <w:rsid w:val="00357D7F"/>
    <w:rsid w:val="0036159C"/>
    <w:rsid w:val="003625B9"/>
    <w:rsid w:val="00362B1B"/>
    <w:rsid w:val="00367B9D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7CDF"/>
    <w:rsid w:val="003A0C22"/>
    <w:rsid w:val="003A6896"/>
    <w:rsid w:val="003B2F31"/>
    <w:rsid w:val="003B5666"/>
    <w:rsid w:val="003B683D"/>
    <w:rsid w:val="003B76C9"/>
    <w:rsid w:val="003C2EFD"/>
    <w:rsid w:val="003C72EE"/>
    <w:rsid w:val="003D15A1"/>
    <w:rsid w:val="003D273D"/>
    <w:rsid w:val="003D3EEA"/>
    <w:rsid w:val="003E2B02"/>
    <w:rsid w:val="003E3C3F"/>
    <w:rsid w:val="003E54AE"/>
    <w:rsid w:val="003E6309"/>
    <w:rsid w:val="003E6CBA"/>
    <w:rsid w:val="003E70DE"/>
    <w:rsid w:val="003E7A09"/>
    <w:rsid w:val="003F1E4A"/>
    <w:rsid w:val="003F20EB"/>
    <w:rsid w:val="003F2D08"/>
    <w:rsid w:val="003F2DD5"/>
    <w:rsid w:val="003F411D"/>
    <w:rsid w:val="003F430C"/>
    <w:rsid w:val="003F614C"/>
    <w:rsid w:val="003F6C3A"/>
    <w:rsid w:val="003F76F6"/>
    <w:rsid w:val="0040291E"/>
    <w:rsid w:val="00403F75"/>
    <w:rsid w:val="00405F52"/>
    <w:rsid w:val="004077BE"/>
    <w:rsid w:val="00411778"/>
    <w:rsid w:val="00414004"/>
    <w:rsid w:val="00414D8B"/>
    <w:rsid w:val="00414F7A"/>
    <w:rsid w:val="00420701"/>
    <w:rsid w:val="00420745"/>
    <w:rsid w:val="00424659"/>
    <w:rsid w:val="00425B94"/>
    <w:rsid w:val="00427DC8"/>
    <w:rsid w:val="00436CB0"/>
    <w:rsid w:val="004373A6"/>
    <w:rsid w:val="004375FE"/>
    <w:rsid w:val="00437704"/>
    <w:rsid w:val="00440089"/>
    <w:rsid w:val="00443BBF"/>
    <w:rsid w:val="00447F5B"/>
    <w:rsid w:val="00456CBD"/>
    <w:rsid w:val="004576AA"/>
    <w:rsid w:val="00457C55"/>
    <w:rsid w:val="00461F41"/>
    <w:rsid w:val="004626F7"/>
    <w:rsid w:val="00462753"/>
    <w:rsid w:val="00464786"/>
    <w:rsid w:val="00472397"/>
    <w:rsid w:val="0047268E"/>
    <w:rsid w:val="004743C0"/>
    <w:rsid w:val="00476D85"/>
    <w:rsid w:val="004779A9"/>
    <w:rsid w:val="00486F40"/>
    <w:rsid w:val="004A0B27"/>
    <w:rsid w:val="004A0C80"/>
    <w:rsid w:val="004A0D5B"/>
    <w:rsid w:val="004A2D23"/>
    <w:rsid w:val="004A7311"/>
    <w:rsid w:val="004A74BA"/>
    <w:rsid w:val="004B067D"/>
    <w:rsid w:val="004B4AC8"/>
    <w:rsid w:val="004C1326"/>
    <w:rsid w:val="004C1417"/>
    <w:rsid w:val="004C18ED"/>
    <w:rsid w:val="004C4BDC"/>
    <w:rsid w:val="004D5FFC"/>
    <w:rsid w:val="004D7226"/>
    <w:rsid w:val="004E2A68"/>
    <w:rsid w:val="004E4B0F"/>
    <w:rsid w:val="004F1CD8"/>
    <w:rsid w:val="004F3C24"/>
    <w:rsid w:val="004F756F"/>
    <w:rsid w:val="005001A3"/>
    <w:rsid w:val="005036DA"/>
    <w:rsid w:val="005052C9"/>
    <w:rsid w:val="00506961"/>
    <w:rsid w:val="0051496C"/>
    <w:rsid w:val="00514B79"/>
    <w:rsid w:val="00516EB5"/>
    <w:rsid w:val="00520546"/>
    <w:rsid w:val="00520743"/>
    <w:rsid w:val="00521C79"/>
    <w:rsid w:val="005245FD"/>
    <w:rsid w:val="00525356"/>
    <w:rsid w:val="005256AF"/>
    <w:rsid w:val="00526E67"/>
    <w:rsid w:val="005308B2"/>
    <w:rsid w:val="00530CE6"/>
    <w:rsid w:val="00531E00"/>
    <w:rsid w:val="00532C41"/>
    <w:rsid w:val="00533201"/>
    <w:rsid w:val="00541C4C"/>
    <w:rsid w:val="00543F98"/>
    <w:rsid w:val="0055023A"/>
    <w:rsid w:val="00551F8F"/>
    <w:rsid w:val="0055297A"/>
    <w:rsid w:val="0055496A"/>
    <w:rsid w:val="00557491"/>
    <w:rsid w:val="005579F6"/>
    <w:rsid w:val="0056106B"/>
    <w:rsid w:val="00566ADA"/>
    <w:rsid w:val="005708A8"/>
    <w:rsid w:val="005753F0"/>
    <w:rsid w:val="005849A7"/>
    <w:rsid w:val="00585266"/>
    <w:rsid w:val="00586A0F"/>
    <w:rsid w:val="00591229"/>
    <w:rsid w:val="00594C0E"/>
    <w:rsid w:val="00595EA5"/>
    <w:rsid w:val="005969F9"/>
    <w:rsid w:val="00596E2F"/>
    <w:rsid w:val="00596F14"/>
    <w:rsid w:val="00597F88"/>
    <w:rsid w:val="005A0A6F"/>
    <w:rsid w:val="005A4EAA"/>
    <w:rsid w:val="005A624C"/>
    <w:rsid w:val="005A6E8F"/>
    <w:rsid w:val="005A7BD4"/>
    <w:rsid w:val="005B14FF"/>
    <w:rsid w:val="005B1CD7"/>
    <w:rsid w:val="005B2DC1"/>
    <w:rsid w:val="005C6E4B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5B0"/>
    <w:rsid w:val="005E6F1D"/>
    <w:rsid w:val="005F603E"/>
    <w:rsid w:val="0060058D"/>
    <w:rsid w:val="00600FE0"/>
    <w:rsid w:val="00602F6E"/>
    <w:rsid w:val="0060550A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31256"/>
    <w:rsid w:val="00631F2F"/>
    <w:rsid w:val="006326F1"/>
    <w:rsid w:val="0063438C"/>
    <w:rsid w:val="00637CDC"/>
    <w:rsid w:val="00641394"/>
    <w:rsid w:val="00645F42"/>
    <w:rsid w:val="00647610"/>
    <w:rsid w:val="00652482"/>
    <w:rsid w:val="006564F5"/>
    <w:rsid w:val="006572DB"/>
    <w:rsid w:val="00657B8A"/>
    <w:rsid w:val="00660779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A0D1F"/>
    <w:rsid w:val="006A0FC7"/>
    <w:rsid w:val="006A1CDE"/>
    <w:rsid w:val="006A1CF1"/>
    <w:rsid w:val="006A1F5B"/>
    <w:rsid w:val="006A437D"/>
    <w:rsid w:val="006A72D1"/>
    <w:rsid w:val="006B2525"/>
    <w:rsid w:val="006B5B75"/>
    <w:rsid w:val="006C0829"/>
    <w:rsid w:val="006C5DC3"/>
    <w:rsid w:val="006D2304"/>
    <w:rsid w:val="006D2A6D"/>
    <w:rsid w:val="006D2CBF"/>
    <w:rsid w:val="006D3AED"/>
    <w:rsid w:val="006D76CD"/>
    <w:rsid w:val="006E1967"/>
    <w:rsid w:val="006E321C"/>
    <w:rsid w:val="006E4216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03FA"/>
    <w:rsid w:val="00741A88"/>
    <w:rsid w:val="00743188"/>
    <w:rsid w:val="0074490A"/>
    <w:rsid w:val="00744E0C"/>
    <w:rsid w:val="00744F6F"/>
    <w:rsid w:val="007452AE"/>
    <w:rsid w:val="00747349"/>
    <w:rsid w:val="00755030"/>
    <w:rsid w:val="00755678"/>
    <w:rsid w:val="0075613C"/>
    <w:rsid w:val="00761706"/>
    <w:rsid w:val="007626D3"/>
    <w:rsid w:val="00763114"/>
    <w:rsid w:val="00766775"/>
    <w:rsid w:val="00767578"/>
    <w:rsid w:val="00774294"/>
    <w:rsid w:val="00775B33"/>
    <w:rsid w:val="007844BE"/>
    <w:rsid w:val="00786E71"/>
    <w:rsid w:val="007941E8"/>
    <w:rsid w:val="00794512"/>
    <w:rsid w:val="00794A0D"/>
    <w:rsid w:val="00794DF0"/>
    <w:rsid w:val="007A2B08"/>
    <w:rsid w:val="007A3826"/>
    <w:rsid w:val="007A4758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358A"/>
    <w:rsid w:val="00824FAD"/>
    <w:rsid w:val="0082509B"/>
    <w:rsid w:val="00832F1E"/>
    <w:rsid w:val="0083685F"/>
    <w:rsid w:val="00837339"/>
    <w:rsid w:val="0083744D"/>
    <w:rsid w:val="00843233"/>
    <w:rsid w:val="00847AA7"/>
    <w:rsid w:val="008517E1"/>
    <w:rsid w:val="00851BEA"/>
    <w:rsid w:val="00862056"/>
    <w:rsid w:val="008647B5"/>
    <w:rsid w:val="00864CBC"/>
    <w:rsid w:val="0087211E"/>
    <w:rsid w:val="00890DA4"/>
    <w:rsid w:val="00892F8A"/>
    <w:rsid w:val="00893C59"/>
    <w:rsid w:val="0089426E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C4026"/>
    <w:rsid w:val="008D32F9"/>
    <w:rsid w:val="008D586A"/>
    <w:rsid w:val="008D77EC"/>
    <w:rsid w:val="008D77F8"/>
    <w:rsid w:val="008E10A0"/>
    <w:rsid w:val="008E3D20"/>
    <w:rsid w:val="008E45C0"/>
    <w:rsid w:val="008E7E06"/>
    <w:rsid w:val="008F0C24"/>
    <w:rsid w:val="008F0DB6"/>
    <w:rsid w:val="008F1839"/>
    <w:rsid w:val="008F2129"/>
    <w:rsid w:val="008F2281"/>
    <w:rsid w:val="00900D2C"/>
    <w:rsid w:val="009030AC"/>
    <w:rsid w:val="009059FB"/>
    <w:rsid w:val="00907E4D"/>
    <w:rsid w:val="00912103"/>
    <w:rsid w:val="00913CC6"/>
    <w:rsid w:val="00916CDA"/>
    <w:rsid w:val="00917064"/>
    <w:rsid w:val="0092098B"/>
    <w:rsid w:val="00920C7B"/>
    <w:rsid w:val="00922FBB"/>
    <w:rsid w:val="00926614"/>
    <w:rsid w:val="0093236F"/>
    <w:rsid w:val="00932BC5"/>
    <w:rsid w:val="00932F32"/>
    <w:rsid w:val="009361F9"/>
    <w:rsid w:val="00936660"/>
    <w:rsid w:val="00937BF1"/>
    <w:rsid w:val="00937F0E"/>
    <w:rsid w:val="00942712"/>
    <w:rsid w:val="00946B13"/>
    <w:rsid w:val="00951444"/>
    <w:rsid w:val="00964B1D"/>
    <w:rsid w:val="00964F3E"/>
    <w:rsid w:val="009734A6"/>
    <w:rsid w:val="00976970"/>
    <w:rsid w:val="00976D4F"/>
    <w:rsid w:val="0098034C"/>
    <w:rsid w:val="0098630E"/>
    <w:rsid w:val="009927B8"/>
    <w:rsid w:val="009977AB"/>
    <w:rsid w:val="009A06C4"/>
    <w:rsid w:val="009A353A"/>
    <w:rsid w:val="009B3CA7"/>
    <w:rsid w:val="009B5FBE"/>
    <w:rsid w:val="009B72B5"/>
    <w:rsid w:val="009C259F"/>
    <w:rsid w:val="009C32E6"/>
    <w:rsid w:val="009C423A"/>
    <w:rsid w:val="009C4EC3"/>
    <w:rsid w:val="009C6D7D"/>
    <w:rsid w:val="009C7248"/>
    <w:rsid w:val="009D7D8D"/>
    <w:rsid w:val="009E04DD"/>
    <w:rsid w:val="009E30ED"/>
    <w:rsid w:val="009E3ACB"/>
    <w:rsid w:val="009E51CF"/>
    <w:rsid w:val="009F05D0"/>
    <w:rsid w:val="009F1ABF"/>
    <w:rsid w:val="009F5DC6"/>
    <w:rsid w:val="00A00C54"/>
    <w:rsid w:val="00A0258F"/>
    <w:rsid w:val="00A03E08"/>
    <w:rsid w:val="00A117BE"/>
    <w:rsid w:val="00A1240C"/>
    <w:rsid w:val="00A13085"/>
    <w:rsid w:val="00A1341C"/>
    <w:rsid w:val="00A15670"/>
    <w:rsid w:val="00A17E5D"/>
    <w:rsid w:val="00A22C6A"/>
    <w:rsid w:val="00A232C1"/>
    <w:rsid w:val="00A31FEE"/>
    <w:rsid w:val="00A32665"/>
    <w:rsid w:val="00A330AB"/>
    <w:rsid w:val="00A334AB"/>
    <w:rsid w:val="00A33CF4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75B4"/>
    <w:rsid w:val="00A67E15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326A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C49FD"/>
    <w:rsid w:val="00AC75AA"/>
    <w:rsid w:val="00AE29F7"/>
    <w:rsid w:val="00AE4236"/>
    <w:rsid w:val="00AE51B0"/>
    <w:rsid w:val="00AF3D5A"/>
    <w:rsid w:val="00B078EC"/>
    <w:rsid w:val="00B104BA"/>
    <w:rsid w:val="00B1182E"/>
    <w:rsid w:val="00B123C0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6126"/>
    <w:rsid w:val="00B50FDA"/>
    <w:rsid w:val="00B512FE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43B8"/>
    <w:rsid w:val="00B978C6"/>
    <w:rsid w:val="00BA11F0"/>
    <w:rsid w:val="00BA13A3"/>
    <w:rsid w:val="00BA1C0F"/>
    <w:rsid w:val="00BA5B76"/>
    <w:rsid w:val="00BA6C68"/>
    <w:rsid w:val="00BB368C"/>
    <w:rsid w:val="00BB39B5"/>
    <w:rsid w:val="00BB49A5"/>
    <w:rsid w:val="00BB6D59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10807"/>
    <w:rsid w:val="00C108F7"/>
    <w:rsid w:val="00C136DA"/>
    <w:rsid w:val="00C151B5"/>
    <w:rsid w:val="00C1622F"/>
    <w:rsid w:val="00C215CE"/>
    <w:rsid w:val="00C264AE"/>
    <w:rsid w:val="00C271CB"/>
    <w:rsid w:val="00C274A5"/>
    <w:rsid w:val="00C300BF"/>
    <w:rsid w:val="00C3078C"/>
    <w:rsid w:val="00C31E7E"/>
    <w:rsid w:val="00C34931"/>
    <w:rsid w:val="00C35F3A"/>
    <w:rsid w:val="00C40D77"/>
    <w:rsid w:val="00C4362F"/>
    <w:rsid w:val="00C44055"/>
    <w:rsid w:val="00C46124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91EE1"/>
    <w:rsid w:val="00C9290C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2BFE"/>
    <w:rsid w:val="00CB7C76"/>
    <w:rsid w:val="00CC1987"/>
    <w:rsid w:val="00CC5FEC"/>
    <w:rsid w:val="00CD0C86"/>
    <w:rsid w:val="00CD10D7"/>
    <w:rsid w:val="00CD2FDC"/>
    <w:rsid w:val="00CD4CC6"/>
    <w:rsid w:val="00CE032A"/>
    <w:rsid w:val="00CF28C8"/>
    <w:rsid w:val="00CF5C38"/>
    <w:rsid w:val="00CF6EA4"/>
    <w:rsid w:val="00D027C4"/>
    <w:rsid w:val="00D04275"/>
    <w:rsid w:val="00D0752F"/>
    <w:rsid w:val="00D07E43"/>
    <w:rsid w:val="00D13E68"/>
    <w:rsid w:val="00D207FE"/>
    <w:rsid w:val="00D22A9C"/>
    <w:rsid w:val="00D306B4"/>
    <w:rsid w:val="00D315D9"/>
    <w:rsid w:val="00D31CCC"/>
    <w:rsid w:val="00D37234"/>
    <w:rsid w:val="00D37A98"/>
    <w:rsid w:val="00D43574"/>
    <w:rsid w:val="00D4600C"/>
    <w:rsid w:val="00D47ECA"/>
    <w:rsid w:val="00D5314D"/>
    <w:rsid w:val="00D53C98"/>
    <w:rsid w:val="00D54324"/>
    <w:rsid w:val="00D5441B"/>
    <w:rsid w:val="00D548D6"/>
    <w:rsid w:val="00D56098"/>
    <w:rsid w:val="00D5682F"/>
    <w:rsid w:val="00D57C84"/>
    <w:rsid w:val="00D651BE"/>
    <w:rsid w:val="00D71D98"/>
    <w:rsid w:val="00D7594C"/>
    <w:rsid w:val="00D77539"/>
    <w:rsid w:val="00D80458"/>
    <w:rsid w:val="00D81065"/>
    <w:rsid w:val="00D82507"/>
    <w:rsid w:val="00D86B89"/>
    <w:rsid w:val="00D90EF4"/>
    <w:rsid w:val="00D9457D"/>
    <w:rsid w:val="00D95AE0"/>
    <w:rsid w:val="00D96F37"/>
    <w:rsid w:val="00D97974"/>
    <w:rsid w:val="00DA1A02"/>
    <w:rsid w:val="00DA1FC1"/>
    <w:rsid w:val="00DA2742"/>
    <w:rsid w:val="00DA3754"/>
    <w:rsid w:val="00DA3CD3"/>
    <w:rsid w:val="00DA450C"/>
    <w:rsid w:val="00DA626A"/>
    <w:rsid w:val="00DA6384"/>
    <w:rsid w:val="00DB2E50"/>
    <w:rsid w:val="00DB364B"/>
    <w:rsid w:val="00DB4EF0"/>
    <w:rsid w:val="00DB59C7"/>
    <w:rsid w:val="00DB62F7"/>
    <w:rsid w:val="00DB76C7"/>
    <w:rsid w:val="00DC767A"/>
    <w:rsid w:val="00DD0097"/>
    <w:rsid w:val="00DD1560"/>
    <w:rsid w:val="00DD2460"/>
    <w:rsid w:val="00DD3391"/>
    <w:rsid w:val="00DD5381"/>
    <w:rsid w:val="00DD7B80"/>
    <w:rsid w:val="00DE0DA6"/>
    <w:rsid w:val="00DE32CE"/>
    <w:rsid w:val="00DE3C38"/>
    <w:rsid w:val="00DF098F"/>
    <w:rsid w:val="00DF1840"/>
    <w:rsid w:val="00DF288B"/>
    <w:rsid w:val="00DF5909"/>
    <w:rsid w:val="00E01159"/>
    <w:rsid w:val="00E042B7"/>
    <w:rsid w:val="00E05F99"/>
    <w:rsid w:val="00E06073"/>
    <w:rsid w:val="00E07950"/>
    <w:rsid w:val="00E132EC"/>
    <w:rsid w:val="00E15EB8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19DB"/>
    <w:rsid w:val="00E32074"/>
    <w:rsid w:val="00E328CC"/>
    <w:rsid w:val="00E41969"/>
    <w:rsid w:val="00E41FF8"/>
    <w:rsid w:val="00E43A36"/>
    <w:rsid w:val="00E446A7"/>
    <w:rsid w:val="00E44741"/>
    <w:rsid w:val="00E4555D"/>
    <w:rsid w:val="00E47250"/>
    <w:rsid w:val="00E51520"/>
    <w:rsid w:val="00E52DA0"/>
    <w:rsid w:val="00E612CB"/>
    <w:rsid w:val="00E64566"/>
    <w:rsid w:val="00E64A66"/>
    <w:rsid w:val="00E6629F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535D"/>
    <w:rsid w:val="00E85AD0"/>
    <w:rsid w:val="00E90C20"/>
    <w:rsid w:val="00E923A6"/>
    <w:rsid w:val="00E94E72"/>
    <w:rsid w:val="00EA0A04"/>
    <w:rsid w:val="00EA0A10"/>
    <w:rsid w:val="00EA1675"/>
    <w:rsid w:val="00EA5A2B"/>
    <w:rsid w:val="00EB22D4"/>
    <w:rsid w:val="00EB3B77"/>
    <w:rsid w:val="00EB4DC1"/>
    <w:rsid w:val="00EB7080"/>
    <w:rsid w:val="00EB726D"/>
    <w:rsid w:val="00EB786B"/>
    <w:rsid w:val="00EC0B0D"/>
    <w:rsid w:val="00EC0C73"/>
    <w:rsid w:val="00EC1F4C"/>
    <w:rsid w:val="00EC5B90"/>
    <w:rsid w:val="00ED01B6"/>
    <w:rsid w:val="00ED1710"/>
    <w:rsid w:val="00ED298D"/>
    <w:rsid w:val="00ED49B8"/>
    <w:rsid w:val="00ED4E41"/>
    <w:rsid w:val="00EE0DBB"/>
    <w:rsid w:val="00EE4363"/>
    <w:rsid w:val="00EE49B3"/>
    <w:rsid w:val="00EF3895"/>
    <w:rsid w:val="00EF6BD5"/>
    <w:rsid w:val="00EF7093"/>
    <w:rsid w:val="00F00A2C"/>
    <w:rsid w:val="00F01B8A"/>
    <w:rsid w:val="00F036C2"/>
    <w:rsid w:val="00F0400A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7E2A"/>
    <w:rsid w:val="00F34A67"/>
    <w:rsid w:val="00F355C1"/>
    <w:rsid w:val="00F35FEC"/>
    <w:rsid w:val="00F408F2"/>
    <w:rsid w:val="00F42155"/>
    <w:rsid w:val="00F42FEE"/>
    <w:rsid w:val="00F43855"/>
    <w:rsid w:val="00F46E16"/>
    <w:rsid w:val="00F56BDA"/>
    <w:rsid w:val="00F60658"/>
    <w:rsid w:val="00F61142"/>
    <w:rsid w:val="00F61C83"/>
    <w:rsid w:val="00F62896"/>
    <w:rsid w:val="00F64DEA"/>
    <w:rsid w:val="00F740D9"/>
    <w:rsid w:val="00F82162"/>
    <w:rsid w:val="00F865AF"/>
    <w:rsid w:val="00F90028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091B"/>
    <w:rsid w:val="00FB2D64"/>
    <w:rsid w:val="00FB55B9"/>
    <w:rsid w:val="00FB6732"/>
    <w:rsid w:val="00FC0D1B"/>
    <w:rsid w:val="00FC1C09"/>
    <w:rsid w:val="00FC281B"/>
    <w:rsid w:val="00FC3258"/>
    <w:rsid w:val="00FC69A8"/>
    <w:rsid w:val="00FD1D04"/>
    <w:rsid w:val="00FD2A11"/>
    <w:rsid w:val="00FD32D1"/>
    <w:rsid w:val="00FD34FB"/>
    <w:rsid w:val="00FD664B"/>
    <w:rsid w:val="00FE1ABE"/>
    <w:rsid w:val="00FE2070"/>
    <w:rsid w:val="00FE36AE"/>
    <w:rsid w:val="00FF0567"/>
    <w:rsid w:val="00FF2390"/>
    <w:rsid w:val="00FF284F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uiPriority w:val="99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F036C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F036C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F036C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03D81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uiPriority w:val="99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F036C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F036C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F036C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locked/>
    <w:rsid w:val="00303D8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62BE-E7D8-4D94-BE12-4B0F2374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38</cp:revision>
  <cp:lastPrinted>2015-07-20T19:34:00Z</cp:lastPrinted>
  <dcterms:created xsi:type="dcterms:W3CDTF">2015-09-28T18:06:00Z</dcterms:created>
  <dcterms:modified xsi:type="dcterms:W3CDTF">2015-09-29T20:42:00Z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